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embeddings/oleObject2.xlsx" ContentType="application/vnd.openxmlformats-officedocument.spreadsheetml.sheet"/>
  <Override PartName="/word/media/image1.wmf" ContentType="image/x-wmf"/>
  <Override PartName="/word/media/image2.wmf" ContentType="image/x-wmf"/>
  <Override PartName="/word/media/image3.wmf" ContentType="image/x-w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40"/>
        </w:rPr>
      </w:pPr>
      <w:r>
        <w:rPr>
          <w:b/>
          <w:bCs/>
          <w:sz w:val="40"/>
        </w:rPr>
      </w:r>
    </w:p>
    <w:p>
      <w:pPr>
        <w:pStyle w:val="Normal"/>
        <w:jc w:val="center"/>
        <w:rPr>
          <w:b/>
          <w:bCs/>
          <w:sz w:val="40"/>
        </w:rPr>
      </w:pPr>
      <w:r>
        <w:rPr>
          <w:b/>
          <w:bCs/>
          <w:sz w:val="40"/>
        </w:rPr>
      </w:r>
    </w:p>
    <w:p>
      <w:pPr>
        <w:pStyle w:val="Normal"/>
        <w:jc w:val="center"/>
        <w:rPr>
          <w:b/>
          <w:bCs/>
          <w:sz w:val="40"/>
        </w:rPr>
      </w:pPr>
      <w:r>
        <w:rPr>
          <w:b/>
          <w:bCs/>
          <w:sz w:val="40"/>
        </w:rPr>
      </w:r>
    </w:p>
    <w:p>
      <w:pPr>
        <w:pStyle w:val="Normal"/>
        <w:jc w:val="center"/>
        <w:rPr>
          <w:b/>
          <w:bCs/>
          <w:sz w:val="40"/>
        </w:rPr>
      </w:pPr>
      <w:r>
        <w:rPr>
          <w:b/>
          <w:bCs/>
          <w:sz w:val="40"/>
        </w:rPr>
        <w:t>Energy Deregulation</w:t>
      </w:r>
    </w:p>
    <w:p>
      <w:pPr>
        <w:pStyle w:val="Heading1"/>
        <w:ind w:hanging="0" w:start="0"/>
        <w:jc w:val="center"/>
        <w:rPr/>
      </w:pPr>
      <w:r>
        <w:rPr>
          <w:sz w:val="40"/>
        </w:rPr>
        <w:t>-</w:t>
      </w:r>
      <w:r>
        <w:rPr>
          <w:rFonts w:cs="Harlow Solid Italic" w:ascii="Harlow Solid Italic" w:hAnsi="Harlow Solid Italic"/>
          <w:sz w:val="40"/>
        </w:rPr>
        <w:t>California Style</w:t>
      </w:r>
      <w:r>
        <w:rPr>
          <w:sz w:val="40"/>
        </w:rPr>
        <w:t>-</w:t>
      </w:r>
    </w:p>
    <w:p>
      <w:pPr>
        <w:pStyle w:val="Normal"/>
        <w:rPr>
          <w:sz w:val="40"/>
        </w:rPr>
      </w:pPr>
      <w:r>
        <w:rPr>
          <w:sz w:val="40"/>
        </w:rPr>
      </w:r>
    </w:p>
    <w:p>
      <w:pPr>
        <w:pStyle w:val="Normal"/>
        <w:jc w:val="center"/>
        <w:rPr>
          <w:b/>
          <w:bCs/>
        </w:rPr>
      </w:pPr>
      <w:r>
        <w:rPr>
          <w:b/>
          <w:bCs/>
        </w:rPr>
      </w:r>
    </w:p>
    <w:p>
      <w:pPr>
        <w:pStyle w:val="Normal"/>
        <w:jc w:val="center"/>
        <w:rPr>
          <w:b/>
          <w:bCs/>
        </w:rPr>
      </w:pPr>
      <w:r>
        <w:rPr>
          <w:b/>
          <w:bCs/>
        </w:rPr>
      </w:r>
    </w:p>
    <w:p>
      <w:pPr>
        <w:pStyle w:val="Heading4"/>
        <w:ind w:hanging="0" w:start="0"/>
        <w:rPr/>
      </w:pPr>
      <w:r>
        <w:rPr/>
        <w:t>April 30, 2001</w:t>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t>Stuart Hamel</w:t>
      </w:r>
    </w:p>
    <w:p>
      <w:pPr>
        <w:pStyle w:val="Normal"/>
        <w:jc w:val="center"/>
        <w:rPr>
          <w:b/>
          <w:bCs/>
        </w:rPr>
      </w:pPr>
      <w:r>
        <w:rPr>
          <w:b/>
          <w:bCs/>
        </w:rPr>
        <w:t>Jed Howard</w:t>
      </w:r>
    </w:p>
    <w:p>
      <w:pPr>
        <w:pStyle w:val="Normal"/>
        <w:jc w:val="center"/>
        <w:rPr>
          <w:b/>
          <w:bCs/>
        </w:rPr>
      </w:pPr>
      <w:r>
        <w:rPr>
          <w:b/>
          <w:bCs/>
        </w:rPr>
        <w:t>Brian Nelson</w:t>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i/>
          <w:i/>
          <w:iCs/>
        </w:rPr>
      </w:pPr>
      <w:r>
        <w:rPr>
          <w:b/>
          <w:bCs/>
          <w:i/>
          <w:iCs/>
        </w:rPr>
        <w:t>Energy Derivatives</w:t>
      </w:r>
    </w:p>
    <w:p>
      <w:pPr>
        <w:pStyle w:val="Normal"/>
        <w:jc w:val="center"/>
        <w:rPr>
          <w:b/>
          <w:bCs/>
        </w:rPr>
      </w:pPr>
      <w:r>
        <w:rPr>
          <w:b/>
          <w:bCs/>
        </w:rPr>
        <w:t>Dr. Vincent Kaminski</w:t>
      </w:r>
      <w:r>
        <w:br w:type="page"/>
      </w:r>
    </w:p>
    <w:p>
      <w:pPr>
        <w:pStyle w:val="Heading1"/>
        <w:spacing w:lineRule="auto" w:line="480"/>
        <w:ind w:hanging="0" w:start="0"/>
        <w:rPr>
          <w:i w:val="false"/>
          <w:i w:val="false"/>
          <w:iCs/>
        </w:rPr>
      </w:pPr>
      <w:r>
        <w:rPr>
          <w:b/>
          <w:bCs/>
          <w:i w:val="false"/>
          <w:iCs/>
        </w:rPr>
        <w:t>California- How Not to Deregulate</w:t>
      </w:r>
    </w:p>
    <w:p>
      <w:pPr>
        <w:pStyle w:val="Heading1"/>
        <w:spacing w:lineRule="auto" w:line="480"/>
        <w:ind w:hanging="0" w:start="0"/>
        <w:rPr>
          <w:i w:val="false"/>
          <w:i w:val="false"/>
          <w:iCs/>
        </w:rPr>
      </w:pPr>
      <w:r>
        <w:rPr>
          <w:i w:val="false"/>
          <w:iCs/>
        </w:rPr>
        <w:t xml:space="preserve">As deregulation sweeps the nation’s power markets, there is ample evidence in states such as Pennsylvania and Texas that allowing the generation and transfer of electricity within the framework of a free market system will ultimately pass on lower costs to the end consumer.  Standing in stark contrast, however, is California, which with a botched attempt at deregulation, stands on the brink of a complete power meltdown.   From finger pointing and in-fighting in the state capitol in Sacramento to an escalating financial crisis with the states utilities, California has a colossal problem on its hands, and it will likely get worse as summer demand for electricity increases before a more permanent solution can be found.    </w:t>
      </w:r>
    </w:p>
    <w:p>
      <w:pPr>
        <w:pStyle w:val="Heading1"/>
        <w:spacing w:lineRule="auto" w:line="480"/>
        <w:ind w:hanging="0" w:start="0"/>
        <w:rPr>
          <w:i w:val="false"/>
          <w:i w:val="false"/>
          <w:iCs/>
        </w:rPr>
      </w:pPr>
      <w:r>
        <w:rPr>
          <w:i w:val="false"/>
          <w:iCs/>
        </w:rPr>
      </w:r>
    </w:p>
    <w:p>
      <w:pPr>
        <w:pStyle w:val="Heading1"/>
        <w:spacing w:lineRule="auto" w:line="480"/>
        <w:ind w:hanging="0" w:start="0"/>
        <w:rPr>
          <w:i w:val="false"/>
          <w:i w:val="false"/>
          <w:iCs/>
        </w:rPr>
      </w:pPr>
      <w:r>
        <w:rPr>
          <w:i w:val="false"/>
          <w:iCs/>
        </w:rPr>
        <w:t>California is a textbook example of “How Not To Do It,” and as such, this paper is divided into three main sections.  We begin with the events that are at the root of the problem, continue on with a fundamental analysis of the market dynamics of the California Power Pool, shedding light on the California power market and its central stakeholders, and conclude with what it will take to fix the problem by focusing on different energy derivative products that can help California secure long-term electricity contracts at reasonable prices.</w:t>
      </w:r>
    </w:p>
    <w:p>
      <w:pPr>
        <w:pStyle w:val="Heading1"/>
        <w:spacing w:lineRule="auto" w:line="480"/>
        <w:ind w:hanging="0" w:start="0"/>
        <w:rPr>
          <w:b/>
          <w:bCs/>
          <w:i w:val="false"/>
          <w:i w:val="false"/>
          <w:iCs/>
        </w:rPr>
      </w:pPr>
      <w:r>
        <w:rPr>
          <w:b/>
          <w:bCs/>
          <w:i w:val="false"/>
          <w:iCs/>
        </w:rPr>
      </w:r>
    </w:p>
    <w:p>
      <w:pPr>
        <w:pStyle w:val="Heading1"/>
        <w:spacing w:lineRule="auto" w:line="480"/>
        <w:ind w:hanging="0" w:start="0"/>
        <w:rPr>
          <w:b/>
          <w:bCs/>
          <w:i w:val="false"/>
          <w:i w:val="false"/>
          <w:iCs/>
        </w:rPr>
      </w:pPr>
      <w:r>
        <w:rPr>
          <w:b/>
          <w:bCs/>
          <w:i w:val="false"/>
          <w:iCs/>
        </w:rPr>
        <w:t>Part I:</w:t>
        <w:tab/>
        <w:t>What Happened</w:t>
      </w:r>
    </w:p>
    <w:p>
      <w:pPr>
        <w:pStyle w:val="Heading2"/>
        <w:ind w:hanging="0" w:start="0"/>
        <w:rPr>
          <w:b/>
          <w:bCs/>
          <w:i w:val="false"/>
          <w:i w:val="false"/>
        </w:rPr>
      </w:pPr>
      <w:r>
        <w:rPr>
          <w:b/>
          <w:bCs/>
          <w:i w:val="false"/>
        </w:rPr>
        <w:t>Overview</w:t>
      </w:r>
    </w:p>
    <w:p>
      <w:pPr>
        <w:pStyle w:val="Normal"/>
        <w:spacing w:lineRule="auto" w:line="480"/>
        <w:rPr/>
      </w:pPr>
      <w:r>
        <w:rPr>
          <w:iCs/>
        </w:rPr>
        <w:t>The push to deregulate the California Power Market began in 1996.  Inspired by Britain’s success in opening up its power sector a decade earlier, California forged ahead to lead the rest of the U.S. into an untested, liberalized system of unregulated electricity markets (</w:t>
      </w:r>
      <w:r>
        <w:rPr>
          <w:i/>
        </w:rPr>
        <w:t>The Economist,</w:t>
      </w:r>
      <w:r>
        <w:rPr>
          <w:iCs/>
        </w:rPr>
        <w:t xml:space="preserve"> Jan 18). While the British model was the impetus behind deregulation, it hardly resembled the final piece of California legislation that went into effect in 1998.  After years of haggling, Governor Davis’ predecessor, Pete Wilson, structured a compromise between the various interest groups that had “enough bells and whistles” to satisfy almost everyone.  Unlike that of Britain, the final product did not address several key areas such as reserve capacity (</w:t>
      </w:r>
      <w:r>
        <w:rPr>
          <w:i/>
        </w:rPr>
        <w:t>The Economist</w:t>
      </w:r>
      <w:r>
        <w:rPr>
          <w:iCs/>
        </w:rPr>
        <w:t xml:space="preserve">, Jan 18).  Moreover, California stopped short of complete deregulation, exposing its utility companies to the uncertainty of buying electricity in the spot market, while requiring that they resell it at fixed or capped prices to retail consumers.  </w:t>
      </w:r>
    </w:p>
    <w:p>
      <w:pPr>
        <w:pStyle w:val="Normal"/>
        <w:spacing w:lineRule="auto" w:line="480"/>
        <w:rPr>
          <w:iCs/>
        </w:rPr>
      </w:pPr>
      <w:r>
        <w:rPr>
          <w:iCs/>
        </w:rPr>
      </w:r>
    </w:p>
    <w:p>
      <w:pPr>
        <w:pStyle w:val="Heading1"/>
        <w:spacing w:lineRule="auto" w:line="480"/>
        <w:ind w:hanging="0" w:start="0"/>
        <w:rPr>
          <w:b/>
          <w:bCs/>
          <w:i w:val="false"/>
          <w:i w:val="false"/>
          <w:iCs/>
        </w:rPr>
      </w:pPr>
      <w:r>
        <w:rPr>
          <w:b/>
          <w:bCs/>
          <w:i w:val="false"/>
          <w:iCs/>
        </w:rPr>
        <w:t>Supply Crunch</w:t>
      </w:r>
    </w:p>
    <w:p>
      <w:pPr>
        <w:pStyle w:val="Normal"/>
        <w:spacing w:lineRule="auto" w:line="480"/>
        <w:rPr/>
      </w:pPr>
      <w:r>
        <w:rPr>
          <w:iCs/>
        </w:rPr>
        <w:t>Ideally, California intended for its utility companies to purchase electricity from vendors with the lowest rates and ultimately pass these savings on to the end consumer, but a fundamental problem arose, the state legislature did not fully realize the impact a supply crunch would have on prices.  Unlike other commodities, electricity cannot be stored, requiring a substantial amount of excess capacity in areas where there exist discernible spikes in consumption patterns.  Because of its stringent environmental laws and strong consumer groups, California has only built one new power plant in the last 10 years, while at the same time demand for electricity has grown at a rate of 25%.  In contrast, Texas has built 22 new plants during the same time period.  Further complicating the supply shortage are the end consumers who do not want power plants built near their homes and businesses; commonly referred to as NIMBY (Not in my back yard) syndrome.  For example, Cisco Systems helped to nix the Coyote Valley Power Plant Project, citing that a new plant would be an eye-sore if it were located next to its proposed industrial park for 20,000 employees (</w:t>
      </w:r>
      <w:r>
        <w:rPr>
          <w:i/>
        </w:rPr>
        <w:t>Time Magazine</w:t>
      </w:r>
      <w:r>
        <w:rPr>
          <w:iCs/>
        </w:rPr>
        <w:t>).  In sum, one could argue that California’s supply shortage boils down to dismantling its private-generating industry without securing adequate reserves and garnering enough support from the local community to build new power plants.</w:t>
      </w:r>
    </w:p>
    <w:p>
      <w:pPr>
        <w:pStyle w:val="Normal"/>
        <w:spacing w:lineRule="auto" w:line="480"/>
        <w:rPr>
          <w:iCs/>
        </w:rPr>
      </w:pPr>
      <w:r>
        <w:rPr>
          <w:iCs/>
        </w:rPr>
      </w:r>
    </w:p>
    <w:p>
      <w:pPr>
        <w:pStyle w:val="Heading1"/>
        <w:spacing w:lineRule="auto" w:line="480"/>
        <w:ind w:hanging="0" w:start="0"/>
        <w:rPr>
          <w:b/>
          <w:bCs/>
          <w:i w:val="false"/>
          <w:i w:val="false"/>
          <w:iCs/>
        </w:rPr>
      </w:pPr>
      <w:r>
        <w:rPr>
          <w:b/>
          <w:bCs/>
          <w:i w:val="false"/>
          <w:iCs/>
        </w:rPr>
        <w:t xml:space="preserve">State of the Power Market </w:t>
      </w:r>
    </w:p>
    <w:p>
      <w:pPr>
        <w:pStyle w:val="Normal"/>
        <w:spacing w:lineRule="auto" w:line="480"/>
        <w:rPr/>
      </w:pPr>
      <w:r>
        <w:rPr>
          <w:iCs/>
        </w:rPr>
        <w:t>As it stands at present, California’s energy problems come with a bit of irony: a plan designed to reduce electric rates has tripled what some consumers pay and proved powerless to stem a ten-fold increase in the wholesale market (</w:t>
      </w:r>
      <w:r>
        <w:rPr>
          <w:i/>
        </w:rPr>
        <w:t>Time Magazine</w:t>
      </w:r>
      <w:r>
        <w:rPr>
          <w:iCs/>
        </w:rPr>
        <w:t xml:space="preserve">).  Moreover, the largest utilities, Southern California Edison and Pacific Gas and Electric, are threatening bankruptcy in the wake of being unable to pass on higher wholesale prices to consumers.  Obviously, the original plan had a flaw that remained hidden as long as the price of electricity remained low.  Unfortunately, once energy prices moved in an opposite direction, the flaw grew ever more apparent as staggering losses continued to mount.  </w:t>
      </w:r>
    </w:p>
    <w:p>
      <w:pPr>
        <w:pStyle w:val="Normal"/>
        <w:spacing w:lineRule="auto" w:line="480"/>
        <w:rPr>
          <w:iCs/>
        </w:rPr>
      </w:pPr>
      <w:r>
        <w:rPr>
          <w:iCs/>
        </w:rPr>
        <w:t xml:space="preserve"> </w:t>
      </w:r>
    </w:p>
    <w:p>
      <w:pPr>
        <w:pStyle w:val="Normal"/>
        <w:spacing w:lineRule="auto" w:line="480"/>
        <w:rPr/>
      </w:pPr>
      <w:r>
        <w:rPr>
          <w:iCs/>
        </w:rPr>
        <w:t xml:space="preserve">Enticing new competitors into the California power market should also help to bring down electricity prices, but this will not be easy because the current exorbitant prices are unsustainable for the three years that it takes to build a new power plant.  Additionally, detracting new power producers form entering the California market is a law passed by the California Legislature that burdens new entrants with part of the cots of “stranded assets” or large power plants built before deregulation that were over valued by national market standards.  Essentially, this additional cost makes it difficult for a new entrant to come in and compete on price.  California needs a quick fix and fundamental market repairs; otherwise, windfall profits for power generators like Dynegy and Duke Energy will continue at the expense of California Utilities and eventually the state itself. (New </w:t>
      </w:r>
      <w:r>
        <w:rPr>
          <w:i/>
        </w:rPr>
        <w:t>York Times,</w:t>
      </w:r>
      <w:r>
        <w:rPr>
          <w:iCs/>
        </w:rPr>
        <w:t xml:space="preserve"> Jan. 2).</w:t>
      </w:r>
    </w:p>
    <w:p>
      <w:pPr>
        <w:pStyle w:val="Heading1"/>
        <w:spacing w:lineRule="auto" w:line="480"/>
        <w:ind w:hanging="0" w:start="0"/>
        <w:rPr>
          <w:b/>
          <w:bCs/>
          <w:i w:val="false"/>
          <w:i w:val="false"/>
          <w:iCs/>
        </w:rPr>
      </w:pPr>
      <w:r>
        <w:rPr>
          <w:b/>
          <w:bCs/>
          <w:i w:val="false"/>
          <w:iCs/>
        </w:rPr>
      </w:r>
    </w:p>
    <w:p>
      <w:pPr>
        <w:pStyle w:val="Heading1"/>
        <w:spacing w:lineRule="auto" w:line="480"/>
        <w:ind w:hanging="0" w:start="0"/>
        <w:rPr>
          <w:b/>
          <w:bCs/>
          <w:i w:val="false"/>
          <w:i w:val="false"/>
          <w:iCs/>
        </w:rPr>
      </w:pPr>
      <w:r>
        <w:rPr>
          <w:b/>
          <w:bCs/>
          <w:i w:val="false"/>
          <w:iCs/>
        </w:rPr>
        <w:t>Current State of Affairs</w:t>
      </w:r>
    </w:p>
    <w:p>
      <w:pPr>
        <w:pStyle w:val="Normal"/>
        <w:spacing w:lineRule="auto" w:line="480"/>
        <w:rPr/>
      </w:pPr>
      <w:r>
        <w:rPr>
          <w:iCs/>
        </w:rPr>
        <w:t>The current state of affairs has led to $12 billion in debt now owed by the states utilities to banks, power producers, and other creditors, and while the state legislature has provided a temporary reprieve with the passage of an emergency power bill, not even it can afford to pay high spot prices for long.  Ultimately, end consumers must take some responsibility for their consumption patterns and as long as higher prices are not passed on to them, there will be little incentive for them to do so.  To account for off peak and on peak consumption, sophisticated meters would have to be eventually installed into each household</w:t>
      </w:r>
      <w:r>
        <w:rPr>
          <w:iCs/>
          <w:vertAlign w:val="superscript"/>
        </w:rPr>
        <w:t xml:space="preserve"> </w:t>
      </w:r>
      <w:r>
        <w:rPr>
          <w:iCs/>
        </w:rPr>
        <w:t>(</w:t>
      </w:r>
      <w:r>
        <w:rPr>
          <w:i/>
        </w:rPr>
        <w:t>The Economist</w:t>
      </w:r>
      <w:r>
        <w:rPr>
          <w:iCs/>
        </w:rPr>
        <w:t xml:space="preserve">, Jan. 18).  In the meantime, blackouts will continue to be a real possibility and out-of-state power generators will be reluctant to provide power on credit to the state’s utilities as their financial condition continues to deteriorate.  </w:t>
      </w:r>
      <w:r>
        <w:br w:type="page"/>
      </w:r>
    </w:p>
    <w:p>
      <w:pPr>
        <w:pStyle w:val="Heading1"/>
        <w:spacing w:lineRule="auto" w:line="480"/>
        <w:ind w:hanging="0" w:start="0"/>
        <w:rPr>
          <w:b/>
          <w:bCs/>
          <w:i w:val="false"/>
          <w:i w:val="false"/>
          <w:iCs/>
        </w:rPr>
      </w:pPr>
      <w:r>
        <w:rPr>
          <w:b/>
          <w:bCs/>
          <w:i w:val="false"/>
          <w:iCs/>
        </w:rPr>
        <w:t>Part II: Market Analysis</w:t>
      </w:r>
    </w:p>
    <w:p>
      <w:pPr>
        <w:pStyle w:val="Heading1"/>
        <w:spacing w:lineRule="auto" w:line="480"/>
        <w:ind w:hanging="0" w:start="0"/>
        <w:rPr>
          <w:b/>
          <w:bCs/>
          <w:i w:val="false"/>
          <w:i w:val="false"/>
          <w:iCs/>
        </w:rPr>
      </w:pPr>
      <w:r>
        <w:rPr>
          <w:b/>
          <w:bCs/>
          <w:i w:val="false"/>
          <w:iCs/>
        </w:rPr>
        <w:t>Overview</w:t>
      </w:r>
    </w:p>
    <w:p>
      <w:pPr>
        <w:pStyle w:val="Normal"/>
        <w:spacing w:lineRule="auto" w:line="480"/>
        <w:jc w:val="both"/>
        <w:rPr>
          <w:iCs/>
        </w:rPr>
      </w:pPr>
      <w:r>
        <w:rPr>
          <w:iCs/>
        </w:rPr>
        <w:t xml:space="preserve">The state of California is located within the Western System Coordinating Council (WSCC) region.  California has the largest population of any state in the United States.  As of 2000, the population was estimated at approximately 34,600,000 (a 15.6% increase since 1990).  The state was known for having higher energy prices than the national average.  Therefore, in 1996 the legislature passed a law to deregulate the California market with hopes that the introduction of competition to the market would lower energy prices.  On April 1, 1998, a newly created market for wholesale power opened for business.  Prior to deregulation the electricity market was operated primarily by three large utilities: Pacific Gas &amp; Electric (PG&amp;E), San Diego Gas &amp; Electric (SDG&amp;E) and Southern California Edison (SCE).  The laws regarding deregulation forced the existing utilities to divest the majority of their existing generation capacity to encourage competition.   However, the utilities remained responsible for the transmission and distribution of electricity.  </w:t>
      </w:r>
    </w:p>
    <w:p>
      <w:pPr>
        <w:pStyle w:val="Normal"/>
        <w:spacing w:lineRule="auto" w:line="480"/>
        <w:jc w:val="both"/>
        <w:rPr>
          <w:iCs/>
        </w:rPr>
      </w:pPr>
      <w:r>
        <w:rPr>
          <w:iCs/>
        </w:rPr>
      </w:r>
    </w:p>
    <w:p>
      <w:pPr>
        <w:pStyle w:val="Normal"/>
        <w:spacing w:lineRule="auto" w:line="480"/>
        <w:jc w:val="both"/>
        <w:rPr>
          <w:iCs/>
        </w:rPr>
      </w:pPr>
      <w:r>
        <w:rPr>
          <w:iCs/>
        </w:rPr>
        <w:t>The state currently produces approximately 82% of its electricity and is dependent on imported power for the remainder of its electricity needs through various entities.  Within the state power typically flows north during the winter, to operate equipment during the agricultural harvest, and south in the summer for cooling purposes.  Although a number of factors caused the current problems the state is encountering, the main factor was simply that supply was not keeping up with demand.</w:t>
      </w:r>
    </w:p>
    <w:p>
      <w:pPr>
        <w:pStyle w:val="Normal"/>
        <w:spacing w:lineRule="auto" w:line="480"/>
        <w:jc w:val="both"/>
        <w:rPr>
          <w:iCs/>
        </w:rPr>
      </w:pPr>
      <w:r>
        <w:rPr>
          <w:iCs/>
        </w:rPr>
      </w:r>
    </w:p>
    <w:p>
      <w:pPr>
        <w:pStyle w:val="Heading1"/>
        <w:spacing w:lineRule="auto" w:line="480"/>
        <w:ind w:hanging="0" w:start="0"/>
        <w:rPr>
          <w:b/>
          <w:bCs/>
          <w:i w:val="false"/>
          <w:i w:val="false"/>
          <w:iCs/>
        </w:rPr>
      </w:pPr>
      <w:r>
        <w:rPr>
          <w:b/>
          <w:bCs/>
          <w:i w:val="false"/>
          <w:iCs/>
        </w:rPr>
        <w:t>Supply</w:t>
      </w:r>
    </w:p>
    <w:p>
      <w:pPr>
        <w:pStyle w:val="Normal"/>
        <w:spacing w:lineRule="auto" w:line="480"/>
        <w:jc w:val="both"/>
        <w:rPr>
          <w:iCs/>
        </w:rPr>
      </w:pPr>
      <w:r>
        <w:object w:dxaOrig="10241" w:dyaOrig="6144">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67.05pt;margin-top:71.6pt;width:288pt;height:180.2pt;mso-wrap-distance-left:9.05pt;mso-wrap-distance-right:9.05pt;mso-position-horizontal-relative:text;mso-position-vertical-relative:text" filled="f" o:ole="">
            <v:imagedata r:id="rId3" o:title=""/>
            <w10:wrap type="topAndBottom"/>
          </v:shape>
          <o:OLEObject Type="Embed" ProgID="Excel.Sheet.12" ShapeID="ole_rId2" DrawAspect="Content" ObjectID="_293494101" r:id="rId2"/>
        </w:object>
      </w:r>
      <w:r>
        <w:rPr>
          <w:iCs/>
        </w:rPr>
        <w:t xml:space="preserve">California has one of the most diverse portfolios of electrical generation facilities in the world (see table below).  There are over 1000 power plants located within the state.  </w:t>
      </w:r>
    </w:p>
    <w:p>
      <w:pPr>
        <w:pStyle w:val="Normal"/>
        <w:spacing w:lineRule="auto" w:line="480"/>
        <w:jc w:val="both"/>
        <w:rPr>
          <w:iCs/>
        </w:rPr>
      </w:pPr>
      <w:r>
        <w:rPr>
          <w:iCs/>
        </w:rPr>
      </w:r>
    </w:p>
    <w:p>
      <w:pPr>
        <w:pStyle w:val="Normal"/>
        <w:spacing w:lineRule="auto" w:line="480"/>
        <w:jc w:val="both"/>
        <w:rPr>
          <w:iCs/>
        </w:rPr>
      </w:pPr>
      <w:r>
        <w:rPr>
          <w:iCs/>
        </w:rPr>
        <w:t xml:space="preserve">However, during the 1990’s no new generation capacity was added and as a result the excess capacity from earlier years quickly disappeared.  The state currently has approximately 53,800 MW of generation capacity.  The majority of the new development is fueled by natural gas because of growing environmental concerns.  The state’s two largest fuel sources for generation facilities other than oil/gas are hydroelectric and nuclear, and both of these are out of favor with citizens.  As the state becomes more dependent on natural gas as a source of energy (it currently fuels 30% of the state’s energy requirements), it will become more susceptible to increases in the price of natural gas.  Only 16% of the state’s natural gas is produced in state, with the remainder imported primarily through four major pipelines: El Paso, Transwestern, Kern River and PG&amp;E Gas Transmission-Northwest.  These pipelines transport approximately 7000 MMcfd (California Energy Commission website).  </w:t>
      </w:r>
    </w:p>
    <w:p>
      <w:pPr>
        <w:pStyle w:val="Normal"/>
        <w:spacing w:lineRule="auto" w:line="480"/>
        <w:jc w:val="both"/>
        <w:rPr>
          <w:iCs/>
        </w:rPr>
      </w:pPr>
      <w:r>
        <w:rPr>
          <w:iCs/>
        </w:rPr>
      </w:r>
    </w:p>
    <w:p>
      <w:pPr>
        <w:pStyle w:val="Normal"/>
        <w:spacing w:lineRule="auto" w:line="480"/>
        <w:jc w:val="both"/>
        <w:rPr>
          <w:iCs/>
        </w:rPr>
      </w:pPr>
      <w:r>
        <w:rPr>
          <w:iCs/>
        </w:rPr>
        <w:t>For years the regulatory process in California has been extremely tedious and this discouraged many generators from building facilities in the state.  However, legislators are working on streamlining the process to encourage construction of additional generation capacity.  The state energy commission has approved a number of power plant projects totaling approximately 9500 MW.  Three facilities are expected to come online by the end of 2001, which will add just over 1900 MW.  Although this additional capacity will help the situation, the reserve margins are so slim that any plant shutdowns or a lack of water for the hydroelectric plants would have catastrophic results.</w:t>
      </w:r>
    </w:p>
    <w:p>
      <w:pPr>
        <w:pStyle w:val="Normal"/>
        <w:spacing w:lineRule="auto" w:line="480"/>
        <w:jc w:val="both"/>
        <w:rPr>
          <w:iCs/>
        </w:rPr>
      </w:pPr>
      <w:r>
        <w:rPr>
          <w:iCs/>
        </w:rPr>
      </w:r>
    </w:p>
    <w:p>
      <w:pPr>
        <w:pStyle w:val="Normal"/>
        <w:spacing w:lineRule="auto" w:line="480"/>
        <w:jc w:val="both"/>
        <w:rPr>
          <w:iCs/>
        </w:rPr>
      </w:pPr>
      <w:r>
        <w:drawing>
          <wp:anchor behindDoc="0" distT="0" distB="0" distL="114935" distR="114935" simplePos="0" locked="0" layoutInCell="0" allowOverlap="1" relativeHeight="3">
            <wp:simplePos x="0" y="0"/>
            <wp:positionH relativeFrom="column">
              <wp:posOffset>868680</wp:posOffset>
            </wp:positionH>
            <wp:positionV relativeFrom="paragraph">
              <wp:posOffset>1094105</wp:posOffset>
            </wp:positionV>
            <wp:extent cx="4038600" cy="182880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4"/>
                    <a:srcRect l="-9" t="-20" r="-9" b="-20"/>
                    <a:stretch>
                      <a:fillRect/>
                    </a:stretch>
                  </pic:blipFill>
                  <pic:spPr bwMode="auto">
                    <a:xfrm>
                      <a:off x="0" y="0"/>
                      <a:ext cx="4038600" cy="1828800"/>
                    </a:xfrm>
                    <a:prstGeom prst="rect">
                      <a:avLst/>
                    </a:prstGeom>
                    <a:noFill/>
                  </pic:spPr>
                </pic:pic>
              </a:graphicData>
            </a:graphic>
          </wp:anchor>
        </w:drawing>
      </w:r>
      <w:r>
        <w:rPr>
          <w:iCs/>
        </w:rPr>
        <w:t xml:space="preserve">As mentioned earlier, the existing utilities were forced to divest the majority of their generation capacity.  Therefore a number of merchant power developers have established a presence in the state (see table below).  However, as a part of deregulation the utilities </w:t>
      </w:r>
    </w:p>
    <w:p>
      <w:pPr>
        <w:pStyle w:val="Normal"/>
        <w:spacing w:lineRule="auto" w:line="480"/>
        <w:jc w:val="both"/>
        <w:rPr>
          <w:iCs/>
        </w:rPr>
      </w:pPr>
      <w:r>
        <w:rPr>
          <w:iCs/>
        </w:rPr>
      </w:r>
    </w:p>
    <w:p>
      <w:pPr>
        <w:pStyle w:val="Normal"/>
        <w:spacing w:lineRule="auto" w:line="480"/>
        <w:jc w:val="both"/>
        <w:rPr>
          <w:iCs/>
        </w:rPr>
      </w:pPr>
      <w:r>
        <w:rPr>
          <w:iCs/>
        </w:rPr>
        <w:t xml:space="preserve">were then forced to buy power from these firms.  Without the ability to pass through the higher energy costs to the end consumer, the utilities quickly amassed enormous amounts of debt and face possible bankruptcy.  </w:t>
      </w:r>
    </w:p>
    <w:p>
      <w:pPr>
        <w:pStyle w:val="Normal"/>
        <w:spacing w:lineRule="auto" w:line="480"/>
        <w:jc w:val="both"/>
        <w:rPr>
          <w:iCs/>
        </w:rPr>
      </w:pPr>
      <w:r>
        <w:rPr>
          <w:iCs/>
        </w:rPr>
      </w:r>
    </w:p>
    <w:p>
      <w:pPr>
        <w:pStyle w:val="Heading1"/>
        <w:spacing w:lineRule="auto" w:line="480"/>
        <w:ind w:hanging="0" w:start="0"/>
        <w:rPr>
          <w:b/>
          <w:bCs/>
          <w:i w:val="false"/>
          <w:i w:val="false"/>
          <w:iCs/>
        </w:rPr>
      </w:pPr>
      <w:r>
        <w:rPr>
          <w:b/>
          <w:bCs/>
          <w:i w:val="false"/>
          <w:iCs/>
        </w:rPr>
        <w:t>Demand</w:t>
      </w:r>
    </w:p>
    <w:p>
      <w:pPr>
        <w:pStyle w:val="Normal"/>
        <w:spacing w:lineRule="auto" w:line="480"/>
        <w:jc w:val="both"/>
        <w:rPr/>
      </w:pPr>
      <w:r>
        <w:rPr>
          <w:iCs/>
        </w:rPr>
        <w:t>Although the state of California ranks second in the total amount of energy consumed, it ranks 48</w:t>
      </w:r>
      <w:r>
        <w:rPr>
          <w:iCs/>
          <w:vertAlign w:val="superscript"/>
        </w:rPr>
        <w:t>th</w:t>
      </w:r>
      <w:r>
        <w:rPr>
          <w:iCs/>
        </w:rPr>
        <w:t xml:space="preserve"> in the amount consumed per person.  California has a booming economy and as a result rising demand has quickly diminished the reserve capacity.  Due to these thin reserve margin capacities blackouts have been occurring throughout the state.  Peak demand has been calculated to be approximately 53,250 MW (an increase of 11.4% since 1995, see table below).  It is expected that the state must add 1000 MW per year just to keep even with the pace of demand.</w:t>
      </w:r>
      <w:r>
        <w:br w:type="page"/>
      </w:r>
    </w:p>
    <w:p>
      <w:pPr>
        <w:pStyle w:val="Normal"/>
        <w:spacing w:lineRule="auto" w:line="480"/>
        <w:jc w:val="both"/>
        <w:rPr>
          <w:iCs/>
        </w:rPr>
      </w:pPr>
      <w:r>
        <w:rPr>
          <w:iCs/>
        </w:rPr>
      </w:r>
    </w:p>
    <w:p>
      <w:pPr>
        <w:pStyle w:val="Normal"/>
        <w:spacing w:lineRule="auto" w:line="480"/>
        <w:jc w:val="both"/>
        <w:rPr/>
      </w:pPr>
      <w:r>
        <w:object w:dxaOrig="10241" w:dyaOrig="6144">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position:absolute;margin-left:49.05pt;margin-top:89.6pt;width:288pt;height:180.25pt;mso-wrap-distance-left:9.05pt;mso-wrap-distance-right:9.05pt;mso-position-horizontal-relative:text;mso-position-vertical-relative:text" filled="f" o:ole="">
            <v:imagedata r:id="rId6" o:title=""/>
            <w10:wrap type="topAndBottom"/>
          </v:shape>
          <o:OLEObject Type="Embed" ProgID="Excel.Sheet.12" ShapeID="ole_rId5" DrawAspect="Content" ObjectID="_195731606" r:id="rId5"/>
        </w:object>
      </w:r>
      <w:r>
        <w:rPr>
          <w:iCs/>
        </w:rPr>
        <w:t xml:space="preserve">Demand is driven by a number of different sectors: residential, commercial, industrial </w:t>
      </w:r>
      <w:r>
        <w:rPr/>
        <w:t>and agricultural (see table above).  The estimated total consumption is 261,595 GWh in the year 2000.</w:t>
      </w:r>
    </w:p>
    <w:p>
      <w:pPr>
        <w:pStyle w:val="Normal"/>
        <w:spacing w:lineRule="auto" w:line="480"/>
        <w:rPr/>
      </w:pPr>
      <w:r>
        <w:rPr/>
      </w:r>
    </w:p>
    <w:p>
      <w:pPr>
        <w:pStyle w:val="Normal"/>
        <w:spacing w:lineRule="auto" w:line="480"/>
        <w:rPr/>
      </w:pPr>
      <w:r>
        <w:rPr/>
        <w:t>As the table above illustrates, demand is driven by a number of different sectors.  Conservation is key to helping the state avoid rolling blackouts during the summer.  High temperatures this summer would increase demand dramatically (extreme heat is estimated to increase load demand by approximately 4000 MW) and could push the system to the brink of failure.  California has a booming economy and demand will continue to increase.  Hopefully, by streamlining the regulatory process adequate supply will be built over the next few years to provide the electricity to fuel the state’s economy.</w:t>
      </w:r>
      <w:r>
        <w:br w:type="page"/>
      </w:r>
    </w:p>
    <w:p>
      <w:pPr>
        <w:pStyle w:val="Heading1"/>
        <w:spacing w:lineRule="auto" w:line="480"/>
        <w:ind w:hanging="0" w:start="0"/>
        <w:rPr>
          <w:b/>
          <w:bCs/>
          <w:i w:val="false"/>
          <w:i w:val="false"/>
          <w:iCs/>
        </w:rPr>
      </w:pPr>
      <w:r>
        <w:rPr>
          <w:b/>
          <w:bCs/>
          <w:i w:val="false"/>
          <w:iCs/>
        </w:rPr>
        <w:t>Part III.  Energy Trading, Looking Forward</w:t>
      </w:r>
    </w:p>
    <w:p>
      <w:pPr>
        <w:pStyle w:val="Heading1"/>
        <w:spacing w:lineRule="auto" w:line="480"/>
        <w:ind w:hanging="0" w:start="0"/>
        <w:rPr>
          <w:b/>
          <w:bCs/>
          <w:i w:val="false"/>
          <w:i w:val="false"/>
          <w:iCs/>
        </w:rPr>
      </w:pPr>
      <w:r>
        <w:rPr>
          <w:b/>
          <w:bCs/>
          <w:i w:val="false"/>
          <w:iCs/>
        </w:rPr>
        <w:t>Energy Options Trading</w:t>
      </w:r>
    </w:p>
    <w:p>
      <w:pPr>
        <w:pStyle w:val="Heading1"/>
        <w:spacing w:lineRule="auto" w:line="480"/>
        <w:ind w:hanging="0" w:start="0"/>
        <w:rPr>
          <w:i w:val="false"/>
          <w:i w:val="false"/>
          <w:iCs/>
        </w:rPr>
      </w:pPr>
      <w:r>
        <w:rPr>
          <w:i w:val="false"/>
          <w:iCs/>
        </w:rPr>
        <w:t xml:space="preserve">Ideally, in a deregulated environment, utilities supplying customers with power would not be constrained on one side of the equation; that is, they would not be burdened by price caps, would have their own generation capacity as well as access to outside sources, and could trade forward, entering forward positions and using options to hedge market risk.  The following outlines the trading environment typical in a wholesale energy market, lacking the constraints California faces. The use of derivatives in an especially volatility commodity market ensures that commodity risks can be hedged.  </w:t>
      </w:r>
    </w:p>
    <w:p>
      <w:pPr>
        <w:pStyle w:val="Normal"/>
        <w:spacing w:lineRule="auto" w:line="480"/>
        <w:jc w:val="both"/>
        <w:rPr>
          <w:i/>
          <w:i/>
          <w:iCs/>
        </w:rPr>
      </w:pPr>
      <w:r>
        <w:rPr>
          <w:i/>
          <w:iCs/>
        </w:rPr>
      </w:r>
    </w:p>
    <w:p>
      <w:pPr>
        <w:pStyle w:val="Heading2"/>
        <w:ind w:hanging="0" w:start="0"/>
        <w:jc w:val="both"/>
        <w:rPr>
          <w:b/>
          <w:bCs/>
          <w:i w:val="false"/>
          <w:i w:val="false"/>
        </w:rPr>
      </w:pPr>
      <w:r>
        <w:rPr>
          <w:b/>
          <w:bCs/>
          <w:i w:val="false"/>
        </w:rPr>
        <w:t>Delta Hedging</w:t>
      </w:r>
    </w:p>
    <w:p>
      <w:pPr>
        <w:pStyle w:val="Heading1"/>
        <w:spacing w:lineRule="auto" w:line="480"/>
        <w:ind w:hanging="0" w:start="0"/>
        <w:rPr>
          <w:i w:val="false"/>
          <w:i w:val="false"/>
          <w:iCs/>
        </w:rPr>
      </w:pPr>
      <w:r>
        <w:rPr>
          <w:i w:val="false"/>
          <w:iCs/>
        </w:rPr>
        <w:t xml:space="preserve">To maintain a price neutral position, the risk manager uses the delta of the option as an indication of how many shares of the underlying he needs to trade to remain neutral.  Multiplying the delta by the number of option contracts gives the amount of the underlying that must be sold or bought to eliminate changes in profit and loss, P/(L).  Ranging from –1 to 1, the delta indicates the probability of the option’s “moneyness.”  An at-the-money call option has a delta of .50 and consequently a 50% chance of finishing in the money, that is, finishing so that the strike price is below the spot price.  With an option position, a trader can buy and sell the underlying to manage the position.  For a long option position, the option protects against loss on the underlying.  For a short option position, the underlying protects against loss on the option. </w:t>
      </w:r>
      <w:r>
        <w:br w:type="page"/>
      </w:r>
    </w:p>
    <w:p>
      <w:pPr>
        <w:pStyle w:val="Heading1"/>
        <w:ind w:hanging="0" w:start="0"/>
        <w:rPr>
          <w:b/>
          <w:bCs/>
          <w:i w:val="false"/>
          <w:i w:val="false"/>
          <w:iCs/>
        </w:rPr>
      </w:pPr>
      <w:r>
        <w:rPr>
          <w:b/>
          <w:bCs/>
          <w:i w:val="false"/>
          <w:iCs/>
        </w:rPr>
      </w:r>
    </w:p>
    <w:p>
      <w:pPr>
        <w:pStyle w:val="Heading1"/>
        <w:ind w:hanging="0" w:start="0"/>
        <w:rPr/>
      </w:pPr>
      <w:r>
        <w:rPr>
          <w:i w:val="false"/>
          <w:iCs/>
        </w:rPr>
        <w:t xml:space="preserve">An example (Kramer, </w:t>
      </w:r>
      <w:r>
        <w:rPr/>
        <w:t>Energy Derivatives, Trading…</w:t>
      </w:r>
      <w:r>
        <w:rPr>
          <w:i w:val="false"/>
          <w:iCs/>
        </w:rPr>
        <w:t>) of delta hedging, follows:</w:t>
      </w:r>
    </w:p>
    <w:p>
      <w:pPr>
        <w:pStyle w:val="Heading1"/>
        <w:ind w:hanging="0" w:start="0"/>
        <w:rPr>
          <w:b/>
          <w:bCs/>
          <w:i w:val="false"/>
          <w:i w:val="false"/>
          <w:iCs/>
        </w:rPr>
      </w:pPr>
      <w:r>
        <w:rPr>
          <w:b/>
          <w:bCs/>
          <w:i w:val="false"/>
          <w:iCs/>
        </w:rPr>
        <w:t xml:space="preserve"> </w:t>
      </w:r>
    </w:p>
    <w:tbl>
      <w:tblPr>
        <w:tblW w:w="9581" w:type="dxa"/>
        <w:jc w:val="start"/>
        <w:tblInd w:w="0" w:type="dxa"/>
        <w:tblLayout w:type="fixed"/>
        <w:tblCellMar>
          <w:top w:w="15" w:type="dxa"/>
          <w:start w:w="15" w:type="dxa"/>
          <w:bottom w:w="0" w:type="dxa"/>
          <w:end w:w="15" w:type="dxa"/>
        </w:tblCellMar>
      </w:tblPr>
      <w:tblGrid>
        <w:gridCol w:w="1201"/>
        <w:gridCol w:w="719"/>
        <w:gridCol w:w="1201"/>
        <w:gridCol w:w="1180"/>
        <w:gridCol w:w="1180"/>
        <w:gridCol w:w="700"/>
        <w:gridCol w:w="920"/>
        <w:gridCol w:w="1240"/>
        <w:gridCol w:w="1240"/>
      </w:tblGrid>
      <w:tr>
        <w:trPr>
          <w:trHeight w:val="255" w:hRule="atLeast"/>
        </w:trPr>
        <w:tc>
          <w:tcPr>
            <w:tcW w:w="3121" w:type="dxa"/>
            <w:gridSpan w:val="3"/>
            <w:tcBorders/>
            <w:shd w:fill="FFFFFF" w:val="clear"/>
            <w:vAlign w:val="bottom"/>
          </w:tcPr>
          <w:p>
            <w:pPr>
              <w:pStyle w:val="Normal"/>
              <w:rPr>
                <w:rFonts w:eastAsia="Arial Unicode MS"/>
                <w:b/>
                <w:bCs/>
                <w:sz w:val="20"/>
              </w:rPr>
            </w:pPr>
            <w:r>
              <w:rPr>
                <w:b/>
                <w:bCs/>
                <w:sz w:val="20"/>
              </w:rPr>
              <w:t>1000 Call Options on Crude</w:t>
            </w:r>
          </w:p>
        </w:tc>
        <w:tc>
          <w:tcPr>
            <w:tcW w:w="1180" w:type="dxa"/>
            <w:tcBorders/>
            <w:shd w:fill="FFFFFF" w:val="clear"/>
            <w:vAlign w:val="bottom"/>
          </w:tcPr>
          <w:p>
            <w:pPr>
              <w:pStyle w:val="Normal"/>
              <w:rPr>
                <w:rFonts w:eastAsia="Arial Unicode MS"/>
                <w:sz w:val="20"/>
              </w:rPr>
            </w:pPr>
            <w:r>
              <w:rPr>
                <w:sz w:val="20"/>
              </w:rPr>
              <w:t> </w:t>
            </w:r>
          </w:p>
        </w:tc>
        <w:tc>
          <w:tcPr>
            <w:tcW w:w="1180" w:type="dxa"/>
            <w:tcBorders/>
            <w:shd w:fill="FFFFFF" w:val="clear"/>
            <w:vAlign w:val="bottom"/>
          </w:tcPr>
          <w:p>
            <w:pPr>
              <w:pStyle w:val="Normal"/>
              <w:rPr>
                <w:rFonts w:eastAsia="Arial Unicode MS"/>
                <w:sz w:val="20"/>
              </w:rPr>
            </w:pPr>
            <w:r>
              <w:rPr>
                <w:sz w:val="20"/>
              </w:rPr>
              <w:t> </w:t>
            </w:r>
          </w:p>
        </w:tc>
        <w:tc>
          <w:tcPr>
            <w:tcW w:w="700" w:type="dxa"/>
            <w:tcBorders/>
            <w:shd w:fill="FFFFFF" w:val="clear"/>
            <w:vAlign w:val="bottom"/>
          </w:tcPr>
          <w:p>
            <w:pPr>
              <w:pStyle w:val="Normal"/>
              <w:rPr>
                <w:rFonts w:eastAsia="Arial Unicode MS"/>
                <w:sz w:val="20"/>
              </w:rPr>
            </w:pPr>
            <w:r>
              <w:rPr>
                <w:sz w:val="20"/>
              </w:rPr>
              <w:t> </w:t>
            </w:r>
          </w:p>
        </w:tc>
        <w:tc>
          <w:tcPr>
            <w:tcW w:w="920" w:type="dxa"/>
            <w:tcBorders/>
            <w:shd w:fill="FFFFFF" w:val="clear"/>
            <w:vAlign w:val="bottom"/>
          </w:tcPr>
          <w:p>
            <w:pPr>
              <w:pStyle w:val="Normal"/>
              <w:rPr>
                <w:rFonts w:eastAsia="Arial Unicode MS"/>
                <w:sz w:val="20"/>
              </w:rPr>
            </w:pPr>
            <w:r>
              <w:rPr>
                <w:sz w:val="20"/>
              </w:rPr>
              <w:t> </w:t>
            </w:r>
          </w:p>
        </w:tc>
        <w:tc>
          <w:tcPr>
            <w:tcW w:w="1240" w:type="dxa"/>
            <w:tcBorders/>
            <w:shd w:fill="FFFFFF" w:val="clear"/>
            <w:vAlign w:val="bottom"/>
          </w:tcPr>
          <w:p>
            <w:pPr>
              <w:pStyle w:val="Normal"/>
              <w:rPr>
                <w:rFonts w:eastAsia="Arial Unicode MS"/>
                <w:sz w:val="20"/>
              </w:rPr>
            </w:pPr>
            <w:r>
              <w:rPr>
                <w:sz w:val="20"/>
              </w:rPr>
              <w:t> </w:t>
            </w:r>
          </w:p>
        </w:tc>
        <w:tc>
          <w:tcPr>
            <w:tcW w:w="1240" w:type="dxa"/>
            <w:tcBorders/>
            <w:shd w:fill="FFFFFF" w:val="clear"/>
            <w:vAlign w:val="bottom"/>
          </w:tcPr>
          <w:p>
            <w:pPr>
              <w:pStyle w:val="Normal"/>
              <w:rPr>
                <w:rFonts w:eastAsia="Arial Unicode MS"/>
                <w:sz w:val="20"/>
              </w:rPr>
            </w:pPr>
            <w:r>
              <w:rPr>
                <w:sz w:val="20"/>
              </w:rPr>
              <w:t> </w:t>
            </w:r>
          </w:p>
        </w:tc>
      </w:tr>
      <w:tr>
        <w:trPr>
          <w:trHeight w:val="255" w:hRule="atLeast"/>
        </w:trPr>
        <w:tc>
          <w:tcPr>
            <w:tcW w:w="3121" w:type="dxa"/>
            <w:gridSpan w:val="3"/>
            <w:tcBorders/>
            <w:shd w:fill="FFFFFF" w:val="clear"/>
            <w:vAlign w:val="bottom"/>
          </w:tcPr>
          <w:p>
            <w:pPr>
              <w:pStyle w:val="Normal"/>
              <w:rPr>
                <w:rFonts w:eastAsia="Arial Unicode MS"/>
                <w:b/>
                <w:bCs/>
                <w:sz w:val="20"/>
              </w:rPr>
            </w:pPr>
            <w:r>
              <w:rPr>
                <w:b/>
                <w:bCs/>
                <w:sz w:val="20"/>
              </w:rPr>
              <w:t>1000 Barrels per contract</w:t>
            </w:r>
          </w:p>
        </w:tc>
        <w:tc>
          <w:tcPr>
            <w:tcW w:w="1180" w:type="dxa"/>
            <w:tcBorders/>
            <w:shd w:fill="FFFFFF" w:val="clear"/>
            <w:vAlign w:val="bottom"/>
          </w:tcPr>
          <w:p>
            <w:pPr>
              <w:pStyle w:val="Normal"/>
              <w:rPr>
                <w:rFonts w:eastAsia="Arial Unicode MS"/>
                <w:sz w:val="20"/>
              </w:rPr>
            </w:pPr>
            <w:r>
              <w:rPr>
                <w:sz w:val="20"/>
              </w:rPr>
              <w:t> </w:t>
            </w:r>
          </w:p>
        </w:tc>
        <w:tc>
          <w:tcPr>
            <w:tcW w:w="1180" w:type="dxa"/>
            <w:tcBorders/>
            <w:shd w:fill="FFFFFF" w:val="clear"/>
            <w:vAlign w:val="bottom"/>
          </w:tcPr>
          <w:p>
            <w:pPr>
              <w:pStyle w:val="Normal"/>
              <w:rPr>
                <w:rFonts w:eastAsia="Arial Unicode MS"/>
                <w:sz w:val="20"/>
              </w:rPr>
            </w:pPr>
            <w:r>
              <w:rPr>
                <w:sz w:val="20"/>
              </w:rPr>
              <w:t> </w:t>
            </w:r>
          </w:p>
        </w:tc>
        <w:tc>
          <w:tcPr>
            <w:tcW w:w="700" w:type="dxa"/>
            <w:tcBorders/>
            <w:shd w:fill="FFFFFF" w:val="clear"/>
            <w:vAlign w:val="bottom"/>
          </w:tcPr>
          <w:p>
            <w:pPr>
              <w:pStyle w:val="Normal"/>
              <w:rPr>
                <w:rFonts w:eastAsia="Arial Unicode MS"/>
                <w:sz w:val="20"/>
              </w:rPr>
            </w:pPr>
            <w:r>
              <w:rPr>
                <w:sz w:val="20"/>
              </w:rPr>
              <w:t> </w:t>
            </w:r>
          </w:p>
        </w:tc>
        <w:tc>
          <w:tcPr>
            <w:tcW w:w="920" w:type="dxa"/>
            <w:tcBorders/>
            <w:shd w:fill="FFFFFF" w:val="clear"/>
            <w:vAlign w:val="bottom"/>
          </w:tcPr>
          <w:p>
            <w:pPr>
              <w:pStyle w:val="Normal"/>
              <w:rPr>
                <w:rFonts w:eastAsia="Arial Unicode MS"/>
                <w:sz w:val="20"/>
              </w:rPr>
            </w:pPr>
            <w:r>
              <w:rPr>
                <w:sz w:val="20"/>
              </w:rPr>
              <w:t> </w:t>
            </w:r>
          </w:p>
        </w:tc>
        <w:tc>
          <w:tcPr>
            <w:tcW w:w="1240" w:type="dxa"/>
            <w:tcBorders/>
            <w:shd w:fill="FFFFFF" w:val="clear"/>
            <w:vAlign w:val="bottom"/>
          </w:tcPr>
          <w:p>
            <w:pPr>
              <w:pStyle w:val="Normal"/>
              <w:rPr>
                <w:rFonts w:eastAsia="Arial Unicode MS"/>
                <w:sz w:val="20"/>
              </w:rPr>
            </w:pPr>
            <w:r>
              <w:rPr>
                <w:sz w:val="20"/>
              </w:rPr>
              <w:t> </w:t>
            </w:r>
          </w:p>
        </w:tc>
        <w:tc>
          <w:tcPr>
            <w:tcW w:w="1240" w:type="dxa"/>
            <w:tcBorders/>
            <w:shd w:fill="FFFFFF" w:val="clear"/>
            <w:vAlign w:val="bottom"/>
          </w:tcPr>
          <w:p>
            <w:pPr>
              <w:pStyle w:val="Normal"/>
              <w:rPr>
                <w:rFonts w:eastAsia="Arial Unicode MS"/>
                <w:sz w:val="20"/>
              </w:rPr>
            </w:pPr>
            <w:r>
              <w:rPr>
                <w:sz w:val="20"/>
              </w:rPr>
              <w:t> </w:t>
            </w:r>
          </w:p>
        </w:tc>
      </w:tr>
      <w:tr>
        <w:trPr>
          <w:trHeight w:val="255" w:hRule="atLeast"/>
        </w:trPr>
        <w:tc>
          <w:tcPr>
            <w:tcW w:w="1201" w:type="dxa"/>
            <w:tcBorders/>
            <w:shd w:fill="FFFFFF" w:val="clear"/>
            <w:vAlign w:val="bottom"/>
          </w:tcPr>
          <w:p>
            <w:pPr>
              <w:pStyle w:val="Normal"/>
              <w:rPr>
                <w:rFonts w:eastAsia="Arial Unicode MS"/>
                <w:b/>
                <w:bCs/>
                <w:sz w:val="20"/>
              </w:rPr>
            </w:pPr>
            <w:r>
              <w:rPr>
                <w:b/>
                <w:bCs/>
                <w:sz w:val="20"/>
              </w:rPr>
              <w:t> </w:t>
            </w:r>
          </w:p>
        </w:tc>
        <w:tc>
          <w:tcPr>
            <w:tcW w:w="719" w:type="dxa"/>
            <w:tcBorders/>
            <w:shd w:fill="FFFFFF" w:val="clear"/>
            <w:vAlign w:val="bottom"/>
          </w:tcPr>
          <w:p>
            <w:pPr>
              <w:pStyle w:val="Normal"/>
              <w:rPr>
                <w:rFonts w:eastAsia="Arial Unicode MS"/>
                <w:b/>
                <w:bCs/>
                <w:sz w:val="20"/>
              </w:rPr>
            </w:pPr>
            <w:r>
              <w:rPr>
                <w:b/>
                <w:bCs/>
                <w:sz w:val="20"/>
              </w:rPr>
              <w:t> </w:t>
            </w:r>
          </w:p>
        </w:tc>
        <w:tc>
          <w:tcPr>
            <w:tcW w:w="1201" w:type="dxa"/>
            <w:tcBorders/>
            <w:shd w:fill="FFFFFF" w:val="clear"/>
            <w:vAlign w:val="bottom"/>
          </w:tcPr>
          <w:p>
            <w:pPr>
              <w:pStyle w:val="Normal"/>
              <w:rPr>
                <w:rFonts w:eastAsia="Arial Unicode MS"/>
                <w:b/>
                <w:bCs/>
                <w:sz w:val="20"/>
              </w:rPr>
            </w:pPr>
            <w:r>
              <w:rPr>
                <w:b/>
                <w:bCs/>
                <w:sz w:val="20"/>
              </w:rPr>
              <w:t> </w:t>
            </w:r>
          </w:p>
        </w:tc>
        <w:tc>
          <w:tcPr>
            <w:tcW w:w="1180" w:type="dxa"/>
            <w:tcBorders/>
            <w:shd w:fill="FFFFFF" w:val="clear"/>
            <w:vAlign w:val="bottom"/>
          </w:tcPr>
          <w:p>
            <w:pPr>
              <w:pStyle w:val="Heading3"/>
              <w:ind w:hanging="0" w:start="0"/>
              <w:rPr>
                <w:rFonts w:eastAsia="Arial Unicode MS"/>
              </w:rPr>
            </w:pPr>
            <w:r>
              <w:rPr/>
              <w:t>Option</w:t>
            </w:r>
          </w:p>
        </w:tc>
        <w:tc>
          <w:tcPr>
            <w:tcW w:w="1180" w:type="dxa"/>
            <w:tcBorders/>
            <w:shd w:fill="FFFFFF" w:val="clear"/>
            <w:vAlign w:val="bottom"/>
          </w:tcPr>
          <w:p>
            <w:pPr>
              <w:pStyle w:val="Normal"/>
              <w:rPr>
                <w:rFonts w:eastAsia="Arial Unicode MS"/>
                <w:b/>
                <w:bCs/>
                <w:sz w:val="20"/>
              </w:rPr>
            </w:pPr>
            <w:r>
              <w:rPr>
                <w:b/>
                <w:bCs/>
                <w:sz w:val="20"/>
              </w:rPr>
              <w:t>Option</w:t>
            </w:r>
          </w:p>
        </w:tc>
        <w:tc>
          <w:tcPr>
            <w:tcW w:w="700" w:type="dxa"/>
            <w:tcBorders/>
            <w:shd w:fill="FFFFFF" w:val="clear"/>
            <w:vAlign w:val="bottom"/>
          </w:tcPr>
          <w:p>
            <w:pPr>
              <w:pStyle w:val="Normal"/>
              <w:rPr>
                <w:rFonts w:eastAsia="Arial Unicode MS"/>
                <w:b/>
                <w:bCs/>
                <w:sz w:val="20"/>
              </w:rPr>
            </w:pPr>
            <w:r>
              <w:rPr>
                <w:b/>
                <w:bCs/>
                <w:sz w:val="20"/>
              </w:rPr>
              <w:t> </w:t>
            </w:r>
          </w:p>
        </w:tc>
        <w:tc>
          <w:tcPr>
            <w:tcW w:w="920" w:type="dxa"/>
            <w:tcBorders/>
            <w:shd w:fill="FFFFFF" w:val="clear"/>
            <w:vAlign w:val="bottom"/>
          </w:tcPr>
          <w:p>
            <w:pPr>
              <w:pStyle w:val="Normal"/>
              <w:rPr>
                <w:rFonts w:eastAsia="Arial Unicode MS"/>
                <w:b/>
                <w:bCs/>
                <w:sz w:val="20"/>
              </w:rPr>
            </w:pPr>
            <w:r>
              <w:rPr>
                <w:b/>
                <w:bCs/>
                <w:sz w:val="20"/>
              </w:rPr>
              <w:t> </w:t>
            </w:r>
          </w:p>
        </w:tc>
        <w:tc>
          <w:tcPr>
            <w:tcW w:w="1240" w:type="dxa"/>
            <w:tcBorders/>
            <w:shd w:fill="FFFFFF" w:val="clear"/>
            <w:vAlign w:val="bottom"/>
          </w:tcPr>
          <w:p>
            <w:pPr>
              <w:pStyle w:val="Normal"/>
              <w:rPr>
                <w:rFonts w:eastAsia="Arial Unicode MS"/>
                <w:b/>
                <w:bCs/>
                <w:sz w:val="20"/>
              </w:rPr>
            </w:pPr>
            <w:r>
              <w:rPr>
                <w:b/>
                <w:bCs/>
                <w:sz w:val="20"/>
              </w:rPr>
              <w:t>Underlying</w:t>
            </w:r>
          </w:p>
        </w:tc>
        <w:tc>
          <w:tcPr>
            <w:tcW w:w="1240" w:type="dxa"/>
            <w:tcBorders/>
            <w:shd w:fill="FFFFFF" w:val="clear"/>
            <w:vAlign w:val="bottom"/>
          </w:tcPr>
          <w:p>
            <w:pPr>
              <w:pStyle w:val="Normal"/>
              <w:rPr>
                <w:rFonts w:eastAsia="Arial Unicode MS"/>
                <w:b/>
                <w:bCs/>
                <w:sz w:val="20"/>
              </w:rPr>
            </w:pPr>
            <w:r>
              <w:rPr>
                <w:b/>
                <w:bCs/>
                <w:sz w:val="20"/>
              </w:rPr>
              <w:t>Underlying</w:t>
            </w:r>
          </w:p>
        </w:tc>
      </w:tr>
      <w:tr>
        <w:trPr>
          <w:trHeight w:val="285" w:hRule="atLeast"/>
        </w:trPr>
        <w:tc>
          <w:tcPr>
            <w:tcW w:w="1201" w:type="dxa"/>
            <w:tcBorders/>
            <w:shd w:fill="FFFFFF" w:val="clear"/>
            <w:vAlign w:val="bottom"/>
          </w:tcPr>
          <w:p>
            <w:pPr>
              <w:pStyle w:val="Normal"/>
              <w:rPr>
                <w:rFonts w:eastAsia="Arial Unicode MS"/>
                <w:b/>
                <w:bCs/>
                <w:sz w:val="20"/>
              </w:rPr>
            </w:pPr>
            <w:r>
              <w:rPr>
                <w:b/>
                <w:bCs/>
                <w:sz w:val="20"/>
              </w:rPr>
              <w:t>Date</w:t>
            </w:r>
          </w:p>
        </w:tc>
        <w:tc>
          <w:tcPr>
            <w:tcW w:w="719" w:type="dxa"/>
            <w:tcBorders/>
            <w:shd w:fill="FFFFFF" w:val="clear"/>
            <w:vAlign w:val="bottom"/>
          </w:tcPr>
          <w:p>
            <w:pPr>
              <w:pStyle w:val="Normal"/>
              <w:rPr>
                <w:rFonts w:eastAsia="Arial Unicode MS"/>
                <w:b/>
                <w:bCs/>
                <w:sz w:val="20"/>
              </w:rPr>
            </w:pPr>
            <w:r>
              <w:rPr>
                <w:b/>
                <w:bCs/>
                <w:sz w:val="20"/>
              </w:rPr>
              <w:t>Close</w:t>
            </w:r>
          </w:p>
        </w:tc>
        <w:tc>
          <w:tcPr>
            <w:tcW w:w="1201" w:type="dxa"/>
            <w:tcBorders/>
            <w:shd w:fill="FFFFFF" w:val="clear"/>
            <w:vAlign w:val="bottom"/>
          </w:tcPr>
          <w:p>
            <w:pPr>
              <w:pStyle w:val="Normal"/>
              <w:rPr>
                <w:rFonts w:eastAsia="Arial Unicode MS"/>
                <w:b/>
                <w:bCs/>
                <w:sz w:val="20"/>
              </w:rPr>
            </w:pPr>
            <w:r>
              <w:rPr>
                <w:b/>
                <w:bCs/>
                <w:sz w:val="20"/>
              </w:rPr>
              <w:t>Premium</w:t>
            </w:r>
          </w:p>
        </w:tc>
        <w:tc>
          <w:tcPr>
            <w:tcW w:w="1180" w:type="dxa"/>
            <w:tcBorders/>
            <w:shd w:fill="FFFFFF" w:val="clear"/>
            <w:vAlign w:val="bottom"/>
          </w:tcPr>
          <w:p>
            <w:pPr>
              <w:pStyle w:val="Normal"/>
              <w:rPr>
                <w:rFonts w:eastAsia="Arial Unicode MS"/>
                <w:b/>
                <w:bCs/>
                <w:sz w:val="20"/>
              </w:rPr>
            </w:pPr>
            <w:r>
              <w:rPr>
                <w:b/>
                <w:bCs/>
                <w:sz w:val="20"/>
              </w:rPr>
              <w:t>Value</w:t>
            </w:r>
            <w:r>
              <w:rPr>
                <w:b/>
                <w:bCs/>
                <w:sz w:val="20"/>
                <w:vertAlign w:val="superscript"/>
              </w:rPr>
              <w:t>1</w:t>
            </w:r>
          </w:p>
        </w:tc>
        <w:tc>
          <w:tcPr>
            <w:tcW w:w="1180" w:type="dxa"/>
            <w:tcBorders/>
            <w:shd w:fill="FFFFFF" w:val="clear"/>
            <w:vAlign w:val="bottom"/>
          </w:tcPr>
          <w:p>
            <w:pPr>
              <w:pStyle w:val="Normal"/>
              <w:rPr>
                <w:rFonts w:eastAsia="Arial Unicode MS"/>
                <w:b/>
                <w:bCs/>
                <w:sz w:val="20"/>
              </w:rPr>
            </w:pPr>
            <w:r>
              <w:rPr>
                <w:b/>
                <w:bCs/>
                <w:sz w:val="20"/>
              </w:rPr>
              <w:t>P/(L)</w:t>
            </w:r>
            <w:r>
              <w:rPr>
                <w:b/>
                <w:bCs/>
                <w:sz w:val="20"/>
                <w:vertAlign w:val="superscript"/>
              </w:rPr>
              <w:t>2</w:t>
            </w:r>
          </w:p>
        </w:tc>
        <w:tc>
          <w:tcPr>
            <w:tcW w:w="700" w:type="dxa"/>
            <w:tcBorders/>
            <w:shd w:fill="FFFFFF" w:val="clear"/>
            <w:vAlign w:val="bottom"/>
          </w:tcPr>
          <w:p>
            <w:pPr>
              <w:pStyle w:val="Normal"/>
              <w:rPr>
                <w:rFonts w:eastAsia="Arial Unicode MS"/>
                <w:b/>
                <w:bCs/>
                <w:sz w:val="20"/>
              </w:rPr>
            </w:pPr>
            <w:r>
              <w:rPr>
                <w:b/>
                <w:bCs/>
                <w:sz w:val="20"/>
              </w:rPr>
              <w:t>Delta</w:t>
            </w:r>
          </w:p>
        </w:tc>
        <w:tc>
          <w:tcPr>
            <w:tcW w:w="920" w:type="dxa"/>
            <w:tcBorders/>
            <w:shd w:fill="FFFFFF" w:val="clear"/>
            <w:vAlign w:val="bottom"/>
          </w:tcPr>
          <w:p>
            <w:pPr>
              <w:pStyle w:val="Normal"/>
              <w:rPr>
                <w:rFonts w:eastAsia="Arial Unicode MS"/>
                <w:b/>
                <w:bCs/>
                <w:sz w:val="20"/>
              </w:rPr>
            </w:pPr>
            <w:r>
              <w:rPr>
                <w:b/>
                <w:bCs/>
                <w:sz w:val="20"/>
              </w:rPr>
              <w:t>Gamma</w:t>
            </w:r>
          </w:p>
        </w:tc>
        <w:tc>
          <w:tcPr>
            <w:tcW w:w="1240" w:type="dxa"/>
            <w:tcBorders/>
            <w:shd w:fill="FFFFFF" w:val="clear"/>
            <w:vAlign w:val="bottom"/>
          </w:tcPr>
          <w:p>
            <w:pPr>
              <w:pStyle w:val="Normal"/>
              <w:rPr>
                <w:rFonts w:eastAsia="Arial Unicode MS"/>
                <w:b/>
                <w:bCs/>
                <w:sz w:val="20"/>
              </w:rPr>
            </w:pPr>
            <w:r>
              <w:rPr>
                <w:b/>
                <w:bCs/>
                <w:sz w:val="20"/>
              </w:rPr>
              <w:t>Trade</w:t>
            </w:r>
            <w:r>
              <w:rPr>
                <w:b/>
                <w:bCs/>
                <w:sz w:val="20"/>
                <w:vertAlign w:val="superscript"/>
              </w:rPr>
              <w:t>3</w:t>
            </w:r>
          </w:p>
        </w:tc>
        <w:tc>
          <w:tcPr>
            <w:tcW w:w="1240" w:type="dxa"/>
            <w:tcBorders/>
            <w:shd w:fill="FFFFFF" w:val="clear"/>
            <w:vAlign w:val="bottom"/>
          </w:tcPr>
          <w:p>
            <w:pPr>
              <w:pStyle w:val="Normal"/>
              <w:rPr>
                <w:rFonts w:eastAsia="Arial Unicode MS"/>
                <w:b/>
                <w:bCs/>
                <w:sz w:val="20"/>
              </w:rPr>
            </w:pPr>
            <w:r>
              <w:rPr>
                <w:b/>
                <w:bCs/>
                <w:sz w:val="20"/>
              </w:rPr>
              <w:t>P/(L)</w:t>
            </w:r>
            <w:r>
              <w:rPr>
                <w:b/>
                <w:bCs/>
                <w:sz w:val="20"/>
                <w:vertAlign w:val="superscript"/>
              </w:rPr>
              <w:t>4</w:t>
            </w:r>
          </w:p>
        </w:tc>
      </w:tr>
      <w:tr>
        <w:trPr>
          <w:trHeight w:val="255" w:hRule="atLeast"/>
        </w:trPr>
        <w:tc>
          <w:tcPr>
            <w:tcW w:w="1201" w:type="dxa"/>
            <w:tcBorders/>
            <w:shd w:fill="FFFFFF" w:val="clear"/>
            <w:vAlign w:val="bottom"/>
          </w:tcPr>
          <w:p>
            <w:pPr>
              <w:pStyle w:val="Normal"/>
              <w:rPr>
                <w:rFonts w:eastAsia="Arial Unicode MS"/>
                <w:sz w:val="20"/>
              </w:rPr>
            </w:pPr>
            <w:r>
              <w:rPr>
                <w:sz w:val="20"/>
              </w:rPr>
              <w:t>Initiated</w:t>
            </w:r>
          </w:p>
        </w:tc>
        <w:tc>
          <w:tcPr>
            <w:tcW w:w="719" w:type="dxa"/>
            <w:tcBorders/>
            <w:shd w:fill="FFFFFF" w:val="clear"/>
            <w:vAlign w:val="bottom"/>
          </w:tcPr>
          <w:p>
            <w:pPr>
              <w:pStyle w:val="Normal"/>
              <w:jc w:val="end"/>
              <w:rPr>
                <w:rFonts w:eastAsia="Arial Unicode MS"/>
                <w:sz w:val="20"/>
              </w:rPr>
            </w:pPr>
            <w:r>
              <w:rPr>
                <w:sz w:val="20"/>
              </w:rPr>
              <w:t>26</w:t>
            </w:r>
          </w:p>
        </w:tc>
        <w:tc>
          <w:tcPr>
            <w:tcW w:w="1201" w:type="dxa"/>
            <w:tcBorders/>
            <w:shd w:fill="FFFFFF" w:val="clear"/>
            <w:vAlign w:val="bottom"/>
          </w:tcPr>
          <w:p>
            <w:pPr>
              <w:pStyle w:val="Normal"/>
              <w:jc w:val="end"/>
              <w:rPr>
                <w:rFonts w:eastAsia="Arial Unicode MS"/>
                <w:sz w:val="20"/>
              </w:rPr>
            </w:pPr>
            <w:r>
              <w:rPr>
                <w:sz w:val="20"/>
              </w:rPr>
              <w:t>1.002</w:t>
            </w:r>
          </w:p>
        </w:tc>
        <w:tc>
          <w:tcPr>
            <w:tcW w:w="1180" w:type="dxa"/>
            <w:tcBorders/>
            <w:shd w:fill="FFFFFF" w:val="clear"/>
            <w:vAlign w:val="bottom"/>
          </w:tcPr>
          <w:p>
            <w:pPr>
              <w:pStyle w:val="Normal"/>
              <w:rPr>
                <w:rFonts w:eastAsia="Arial Unicode MS"/>
                <w:sz w:val="20"/>
              </w:rPr>
            </w:pPr>
            <w:r>
              <w:rPr>
                <w:sz w:val="20"/>
              </w:rPr>
              <w:t xml:space="preserve">   </w:t>
            </w:r>
            <w:r>
              <w:rPr>
                <w:sz w:val="20"/>
              </w:rPr>
              <w:t xml:space="preserve">1,002,000 </w:t>
            </w:r>
          </w:p>
        </w:tc>
        <w:tc>
          <w:tcPr>
            <w:tcW w:w="1180" w:type="dxa"/>
            <w:tcBorders/>
            <w:shd w:fill="FFFFFF" w:val="clear"/>
            <w:vAlign w:val="bottom"/>
          </w:tcPr>
          <w:p>
            <w:pPr>
              <w:pStyle w:val="Normal"/>
              <w:rPr>
                <w:rFonts w:eastAsia="Arial Unicode MS"/>
                <w:sz w:val="20"/>
              </w:rPr>
            </w:pPr>
            <w:r>
              <w:rPr>
                <w:sz w:val="20"/>
              </w:rPr>
              <w:t xml:space="preserve">              </w:t>
            </w:r>
            <w:r>
              <w:rPr>
                <w:sz w:val="20"/>
              </w:rPr>
              <w:t xml:space="preserve">-   </w:t>
            </w:r>
          </w:p>
        </w:tc>
        <w:tc>
          <w:tcPr>
            <w:tcW w:w="700" w:type="dxa"/>
            <w:tcBorders/>
            <w:shd w:fill="FFFFFF" w:val="clear"/>
            <w:vAlign w:val="bottom"/>
          </w:tcPr>
          <w:p>
            <w:pPr>
              <w:pStyle w:val="Normal"/>
              <w:jc w:val="end"/>
              <w:rPr>
                <w:rFonts w:eastAsia="Arial Unicode MS"/>
                <w:sz w:val="20"/>
              </w:rPr>
            </w:pPr>
            <w:r>
              <w:rPr>
                <w:sz w:val="20"/>
              </w:rPr>
              <w:t>0.52</w:t>
            </w:r>
          </w:p>
        </w:tc>
        <w:tc>
          <w:tcPr>
            <w:tcW w:w="920" w:type="dxa"/>
            <w:tcBorders/>
            <w:shd w:fill="FFFFFF" w:val="clear"/>
            <w:vAlign w:val="bottom"/>
          </w:tcPr>
          <w:p>
            <w:pPr>
              <w:pStyle w:val="Normal"/>
              <w:jc w:val="end"/>
              <w:rPr>
                <w:rFonts w:eastAsia="Arial Unicode MS"/>
                <w:sz w:val="20"/>
              </w:rPr>
            </w:pPr>
            <w:r>
              <w:rPr>
                <w:sz w:val="20"/>
              </w:rPr>
              <w:t>0.15</w:t>
            </w:r>
          </w:p>
        </w:tc>
        <w:tc>
          <w:tcPr>
            <w:tcW w:w="1240" w:type="dxa"/>
            <w:tcBorders/>
            <w:shd w:fill="FFFFFF" w:val="clear"/>
            <w:vAlign w:val="bottom"/>
          </w:tcPr>
          <w:p>
            <w:pPr>
              <w:pStyle w:val="Normal"/>
              <w:rPr>
                <w:rFonts w:eastAsia="Arial Unicode MS"/>
                <w:sz w:val="20"/>
              </w:rPr>
            </w:pPr>
            <w:r>
              <w:rPr>
                <w:sz w:val="20"/>
              </w:rPr>
              <w:t xml:space="preserve">            </w:t>
            </w:r>
            <w:r>
              <w:rPr>
                <w:sz w:val="20"/>
              </w:rPr>
              <w:t>(520)</w:t>
            </w:r>
          </w:p>
        </w:tc>
        <w:tc>
          <w:tcPr>
            <w:tcW w:w="1240" w:type="dxa"/>
            <w:tcBorders/>
            <w:shd w:fill="FFFFFF" w:val="clear"/>
            <w:vAlign w:val="bottom"/>
          </w:tcPr>
          <w:p>
            <w:pPr>
              <w:pStyle w:val="Normal"/>
              <w:rPr>
                <w:rFonts w:eastAsia="Arial Unicode MS"/>
                <w:sz w:val="20"/>
              </w:rPr>
            </w:pPr>
            <w:r>
              <w:rPr>
                <w:sz w:val="20"/>
              </w:rPr>
              <w:t xml:space="preserve">     </w:t>
            </w:r>
            <w:r>
              <w:rPr>
                <w:sz w:val="20"/>
              </w:rPr>
              <w:t>(868,400)</w:t>
            </w:r>
          </w:p>
        </w:tc>
      </w:tr>
      <w:tr>
        <w:trPr>
          <w:trHeight w:val="255" w:hRule="atLeast"/>
        </w:trPr>
        <w:tc>
          <w:tcPr>
            <w:tcW w:w="1201" w:type="dxa"/>
            <w:tcBorders/>
            <w:shd w:fill="FFFFFF" w:val="clear"/>
            <w:vAlign w:val="bottom"/>
          </w:tcPr>
          <w:p>
            <w:pPr>
              <w:pStyle w:val="Normal"/>
              <w:jc w:val="end"/>
              <w:rPr>
                <w:rFonts w:eastAsia="Arial Unicode MS"/>
                <w:sz w:val="20"/>
              </w:rPr>
            </w:pPr>
            <w:r>
              <w:rPr>
                <w:sz w:val="20"/>
              </w:rPr>
              <w:t>14-Jan-01</w:t>
            </w:r>
          </w:p>
        </w:tc>
        <w:tc>
          <w:tcPr>
            <w:tcW w:w="719" w:type="dxa"/>
            <w:tcBorders/>
            <w:shd w:fill="FFFFFF" w:val="clear"/>
            <w:vAlign w:val="bottom"/>
          </w:tcPr>
          <w:p>
            <w:pPr>
              <w:pStyle w:val="Normal"/>
              <w:jc w:val="end"/>
              <w:rPr>
                <w:rFonts w:eastAsia="Arial Unicode MS"/>
                <w:sz w:val="20"/>
              </w:rPr>
            </w:pPr>
            <w:r>
              <w:rPr>
                <w:sz w:val="20"/>
              </w:rPr>
              <w:t>26.54</w:t>
            </w:r>
          </w:p>
        </w:tc>
        <w:tc>
          <w:tcPr>
            <w:tcW w:w="1201" w:type="dxa"/>
            <w:tcBorders/>
            <w:shd w:fill="FFFFFF" w:val="clear"/>
            <w:vAlign w:val="bottom"/>
          </w:tcPr>
          <w:p>
            <w:pPr>
              <w:pStyle w:val="Normal"/>
              <w:jc w:val="end"/>
              <w:rPr>
                <w:rFonts w:eastAsia="Arial Unicode MS"/>
                <w:sz w:val="20"/>
              </w:rPr>
            </w:pPr>
            <w:r>
              <w:rPr>
                <w:sz w:val="20"/>
              </w:rPr>
              <w:t>1.298</w:t>
            </w:r>
          </w:p>
        </w:tc>
        <w:tc>
          <w:tcPr>
            <w:tcW w:w="1180" w:type="dxa"/>
            <w:tcBorders/>
            <w:shd w:fill="FFFFFF" w:val="clear"/>
            <w:vAlign w:val="bottom"/>
          </w:tcPr>
          <w:p>
            <w:pPr>
              <w:pStyle w:val="Normal"/>
              <w:rPr>
                <w:rFonts w:eastAsia="Arial Unicode MS"/>
                <w:sz w:val="20"/>
              </w:rPr>
            </w:pPr>
            <w:r>
              <w:rPr>
                <w:sz w:val="20"/>
              </w:rPr>
              <w:t xml:space="preserve">   </w:t>
            </w:r>
            <w:r>
              <w:rPr>
                <w:sz w:val="20"/>
              </w:rPr>
              <w:t xml:space="preserve">1,298,000 </w:t>
            </w:r>
          </w:p>
        </w:tc>
        <w:tc>
          <w:tcPr>
            <w:tcW w:w="1180" w:type="dxa"/>
            <w:tcBorders/>
            <w:shd w:fill="FFFFFF" w:val="clear"/>
            <w:vAlign w:val="bottom"/>
          </w:tcPr>
          <w:p>
            <w:pPr>
              <w:pStyle w:val="Normal"/>
              <w:rPr>
                <w:rFonts w:eastAsia="Arial Unicode MS"/>
                <w:sz w:val="20"/>
              </w:rPr>
            </w:pPr>
            <w:r>
              <w:rPr>
                <w:sz w:val="20"/>
              </w:rPr>
              <w:t xml:space="preserve">      </w:t>
            </w:r>
            <w:r>
              <w:rPr>
                <w:sz w:val="20"/>
              </w:rPr>
              <w:t xml:space="preserve">296,000 </w:t>
            </w:r>
          </w:p>
        </w:tc>
        <w:tc>
          <w:tcPr>
            <w:tcW w:w="700" w:type="dxa"/>
            <w:tcBorders/>
            <w:shd w:fill="FFFFFF" w:val="clear"/>
            <w:vAlign w:val="bottom"/>
          </w:tcPr>
          <w:p>
            <w:pPr>
              <w:pStyle w:val="Normal"/>
              <w:jc w:val="end"/>
              <w:rPr>
                <w:rFonts w:eastAsia="Arial Unicode MS"/>
                <w:sz w:val="20"/>
              </w:rPr>
            </w:pPr>
            <w:r>
              <w:rPr>
                <w:sz w:val="20"/>
              </w:rPr>
              <w:t>0.44</w:t>
            </w:r>
          </w:p>
        </w:tc>
        <w:tc>
          <w:tcPr>
            <w:tcW w:w="920" w:type="dxa"/>
            <w:tcBorders/>
            <w:shd w:fill="FFFFFF" w:val="clear"/>
            <w:vAlign w:val="bottom"/>
          </w:tcPr>
          <w:p>
            <w:pPr>
              <w:pStyle w:val="Normal"/>
              <w:jc w:val="end"/>
              <w:rPr>
                <w:rFonts w:eastAsia="Arial Unicode MS"/>
                <w:sz w:val="20"/>
              </w:rPr>
            </w:pPr>
            <w:r>
              <w:rPr>
                <w:sz w:val="20"/>
              </w:rPr>
              <w:t>0.159</w:t>
            </w:r>
          </w:p>
        </w:tc>
        <w:tc>
          <w:tcPr>
            <w:tcW w:w="1240" w:type="dxa"/>
            <w:tcBorders/>
            <w:shd w:fill="FFFFFF" w:val="clear"/>
            <w:vAlign w:val="bottom"/>
          </w:tcPr>
          <w:p>
            <w:pPr>
              <w:pStyle w:val="Normal"/>
              <w:rPr>
                <w:rFonts w:eastAsia="Arial Unicode MS"/>
                <w:sz w:val="20"/>
              </w:rPr>
            </w:pPr>
            <w:r>
              <w:rPr>
                <w:sz w:val="20"/>
              </w:rPr>
              <w:t xml:space="preserve">              </w:t>
            </w:r>
            <w:r>
              <w:rPr>
                <w:sz w:val="20"/>
              </w:rPr>
              <w:t xml:space="preserve">80 </w:t>
            </w:r>
          </w:p>
        </w:tc>
        <w:tc>
          <w:tcPr>
            <w:tcW w:w="1240" w:type="dxa"/>
            <w:tcBorders/>
            <w:shd w:fill="FFFFFF" w:val="clear"/>
            <w:vAlign w:val="bottom"/>
          </w:tcPr>
          <w:p>
            <w:pPr>
              <w:pStyle w:val="Normal"/>
              <w:rPr>
                <w:rFonts w:eastAsia="Arial Unicode MS"/>
                <w:sz w:val="20"/>
              </w:rPr>
            </w:pPr>
            <w:r>
              <w:rPr>
                <w:sz w:val="20"/>
              </w:rPr>
              <w:t xml:space="preserve">        </w:t>
            </w:r>
            <w:r>
              <w:rPr>
                <w:sz w:val="20"/>
              </w:rPr>
              <w:t xml:space="preserve">90,400 </w:t>
            </w:r>
          </w:p>
        </w:tc>
      </w:tr>
      <w:tr>
        <w:trPr>
          <w:trHeight w:val="255" w:hRule="atLeast"/>
        </w:trPr>
        <w:tc>
          <w:tcPr>
            <w:tcW w:w="1201" w:type="dxa"/>
            <w:tcBorders/>
            <w:shd w:fill="FFFFFF" w:val="clear"/>
            <w:vAlign w:val="bottom"/>
          </w:tcPr>
          <w:p>
            <w:pPr>
              <w:pStyle w:val="Normal"/>
              <w:jc w:val="end"/>
              <w:rPr>
                <w:rFonts w:eastAsia="Arial Unicode MS"/>
                <w:sz w:val="20"/>
              </w:rPr>
            </w:pPr>
            <w:r>
              <w:rPr>
                <w:sz w:val="20"/>
              </w:rPr>
              <w:t>15-Jan-01</w:t>
            </w:r>
          </w:p>
        </w:tc>
        <w:tc>
          <w:tcPr>
            <w:tcW w:w="719" w:type="dxa"/>
            <w:tcBorders/>
            <w:shd w:fill="FFFFFF" w:val="clear"/>
            <w:vAlign w:val="bottom"/>
          </w:tcPr>
          <w:p>
            <w:pPr>
              <w:pStyle w:val="Normal"/>
              <w:jc w:val="end"/>
              <w:rPr>
                <w:rFonts w:eastAsia="Arial Unicode MS"/>
                <w:sz w:val="20"/>
              </w:rPr>
            </w:pPr>
            <w:r>
              <w:rPr>
                <w:sz w:val="20"/>
              </w:rPr>
              <w:t>27.08</w:t>
            </w:r>
          </w:p>
        </w:tc>
        <w:tc>
          <w:tcPr>
            <w:tcW w:w="1201" w:type="dxa"/>
            <w:tcBorders/>
            <w:shd w:fill="FFFFFF" w:val="clear"/>
            <w:vAlign w:val="bottom"/>
          </w:tcPr>
          <w:p>
            <w:pPr>
              <w:pStyle w:val="Normal"/>
              <w:jc w:val="end"/>
              <w:rPr>
                <w:rFonts w:eastAsia="Arial Unicode MS"/>
                <w:sz w:val="20"/>
              </w:rPr>
            </w:pPr>
            <w:r>
              <w:rPr>
                <w:sz w:val="20"/>
              </w:rPr>
              <w:t>1.634</w:t>
            </w:r>
          </w:p>
        </w:tc>
        <w:tc>
          <w:tcPr>
            <w:tcW w:w="1180" w:type="dxa"/>
            <w:tcBorders/>
            <w:shd w:fill="FFFFFF" w:val="clear"/>
            <w:vAlign w:val="bottom"/>
          </w:tcPr>
          <w:p>
            <w:pPr>
              <w:pStyle w:val="Normal"/>
              <w:rPr>
                <w:rFonts w:eastAsia="Arial Unicode MS"/>
                <w:sz w:val="20"/>
              </w:rPr>
            </w:pPr>
            <w:r>
              <w:rPr>
                <w:sz w:val="20"/>
              </w:rPr>
              <w:t xml:space="preserve">   </w:t>
            </w:r>
            <w:r>
              <w:rPr>
                <w:sz w:val="20"/>
              </w:rPr>
              <w:t xml:space="preserve">1,634,000 </w:t>
            </w:r>
          </w:p>
        </w:tc>
        <w:tc>
          <w:tcPr>
            <w:tcW w:w="1180" w:type="dxa"/>
            <w:tcBorders/>
            <w:shd w:fill="FFFFFF" w:val="clear"/>
            <w:vAlign w:val="bottom"/>
          </w:tcPr>
          <w:p>
            <w:pPr>
              <w:pStyle w:val="Normal"/>
              <w:rPr>
                <w:rFonts w:eastAsia="Arial Unicode MS"/>
                <w:sz w:val="20"/>
              </w:rPr>
            </w:pPr>
            <w:r>
              <w:rPr>
                <w:sz w:val="20"/>
              </w:rPr>
              <w:t xml:space="preserve">      </w:t>
            </w:r>
            <w:r>
              <w:rPr>
                <w:sz w:val="20"/>
              </w:rPr>
              <w:t xml:space="preserve">336,000 </w:t>
            </w:r>
          </w:p>
        </w:tc>
        <w:tc>
          <w:tcPr>
            <w:tcW w:w="700" w:type="dxa"/>
            <w:tcBorders/>
            <w:shd w:fill="FFFFFF" w:val="clear"/>
            <w:vAlign w:val="bottom"/>
          </w:tcPr>
          <w:p>
            <w:pPr>
              <w:pStyle w:val="Normal"/>
              <w:jc w:val="end"/>
              <w:rPr>
                <w:rFonts w:eastAsia="Arial Unicode MS"/>
                <w:sz w:val="20"/>
              </w:rPr>
            </w:pPr>
            <w:r>
              <w:rPr>
                <w:sz w:val="20"/>
              </w:rPr>
              <w:t>0.366</w:t>
            </w:r>
          </w:p>
        </w:tc>
        <w:tc>
          <w:tcPr>
            <w:tcW w:w="920" w:type="dxa"/>
            <w:tcBorders/>
            <w:shd w:fill="FFFFFF" w:val="clear"/>
            <w:vAlign w:val="bottom"/>
          </w:tcPr>
          <w:p>
            <w:pPr>
              <w:pStyle w:val="Normal"/>
              <w:jc w:val="end"/>
              <w:rPr>
                <w:rFonts w:eastAsia="Arial Unicode MS"/>
                <w:sz w:val="20"/>
              </w:rPr>
            </w:pPr>
            <w:r>
              <w:rPr>
                <w:sz w:val="20"/>
              </w:rPr>
              <w:t>0.17</w:t>
            </w:r>
          </w:p>
        </w:tc>
        <w:tc>
          <w:tcPr>
            <w:tcW w:w="1240" w:type="dxa"/>
            <w:tcBorders/>
            <w:shd w:fill="FFFFFF" w:val="clear"/>
            <w:vAlign w:val="bottom"/>
          </w:tcPr>
          <w:p>
            <w:pPr>
              <w:pStyle w:val="Normal"/>
              <w:rPr>
                <w:rFonts w:eastAsia="Arial Unicode MS"/>
                <w:sz w:val="20"/>
              </w:rPr>
            </w:pPr>
            <w:r>
              <w:rPr>
                <w:sz w:val="20"/>
              </w:rPr>
              <w:t xml:space="preserve">              </w:t>
            </w:r>
            <w:r>
              <w:rPr>
                <w:sz w:val="20"/>
              </w:rPr>
              <w:t xml:space="preserve">74 </w:t>
            </w:r>
          </w:p>
        </w:tc>
        <w:tc>
          <w:tcPr>
            <w:tcW w:w="1240" w:type="dxa"/>
            <w:tcBorders/>
            <w:shd w:fill="FFFFFF" w:val="clear"/>
            <w:vAlign w:val="bottom"/>
          </w:tcPr>
          <w:p>
            <w:pPr>
              <w:pStyle w:val="Normal"/>
              <w:rPr>
                <w:rFonts w:eastAsia="Arial Unicode MS"/>
                <w:sz w:val="20"/>
              </w:rPr>
            </w:pPr>
            <w:r>
              <w:rPr>
                <w:sz w:val="20"/>
              </w:rPr>
              <w:t xml:space="preserve">        </w:t>
            </w:r>
            <w:r>
              <w:rPr>
                <w:sz w:val="20"/>
              </w:rPr>
              <w:t xml:space="preserve">43,660 </w:t>
            </w:r>
          </w:p>
        </w:tc>
      </w:tr>
      <w:tr>
        <w:trPr>
          <w:trHeight w:val="255" w:hRule="atLeast"/>
        </w:trPr>
        <w:tc>
          <w:tcPr>
            <w:tcW w:w="1201" w:type="dxa"/>
            <w:tcBorders/>
            <w:shd w:fill="FFFFFF" w:val="clear"/>
            <w:vAlign w:val="bottom"/>
          </w:tcPr>
          <w:p>
            <w:pPr>
              <w:pStyle w:val="Normal"/>
              <w:jc w:val="end"/>
              <w:rPr>
                <w:rFonts w:eastAsia="Arial Unicode MS"/>
                <w:sz w:val="20"/>
              </w:rPr>
            </w:pPr>
            <w:r>
              <w:rPr>
                <w:sz w:val="20"/>
              </w:rPr>
              <w:t>16-Jan-01</w:t>
            </w:r>
          </w:p>
        </w:tc>
        <w:tc>
          <w:tcPr>
            <w:tcW w:w="719" w:type="dxa"/>
            <w:tcBorders/>
            <w:shd w:fill="FFFFFF" w:val="clear"/>
            <w:vAlign w:val="bottom"/>
          </w:tcPr>
          <w:p>
            <w:pPr>
              <w:pStyle w:val="Normal"/>
              <w:jc w:val="end"/>
              <w:rPr>
                <w:rFonts w:eastAsia="Arial Unicode MS"/>
                <w:sz w:val="20"/>
              </w:rPr>
            </w:pPr>
            <w:r>
              <w:rPr>
                <w:sz w:val="20"/>
              </w:rPr>
              <w:t>27.67</w:t>
            </w:r>
          </w:p>
        </w:tc>
        <w:tc>
          <w:tcPr>
            <w:tcW w:w="1201" w:type="dxa"/>
            <w:tcBorders/>
            <w:shd w:fill="FFFFFF" w:val="clear"/>
            <w:vAlign w:val="bottom"/>
          </w:tcPr>
          <w:p>
            <w:pPr>
              <w:pStyle w:val="Normal"/>
              <w:jc w:val="end"/>
              <w:rPr>
                <w:rFonts w:eastAsia="Arial Unicode MS"/>
                <w:sz w:val="20"/>
              </w:rPr>
            </w:pPr>
            <w:r>
              <w:rPr>
                <w:sz w:val="20"/>
              </w:rPr>
              <w:t>2.046</w:t>
            </w:r>
          </w:p>
        </w:tc>
        <w:tc>
          <w:tcPr>
            <w:tcW w:w="1180" w:type="dxa"/>
            <w:tcBorders/>
            <w:shd w:fill="FFFFFF" w:val="clear"/>
            <w:vAlign w:val="bottom"/>
          </w:tcPr>
          <w:p>
            <w:pPr>
              <w:pStyle w:val="Normal"/>
              <w:rPr>
                <w:rFonts w:eastAsia="Arial Unicode MS"/>
                <w:sz w:val="20"/>
              </w:rPr>
            </w:pPr>
            <w:r>
              <w:rPr>
                <w:sz w:val="20"/>
              </w:rPr>
              <w:t xml:space="preserve">   </w:t>
            </w:r>
            <w:r>
              <w:rPr>
                <w:sz w:val="20"/>
              </w:rPr>
              <w:t xml:space="preserve">2,046,000 </w:t>
            </w:r>
          </w:p>
        </w:tc>
        <w:tc>
          <w:tcPr>
            <w:tcW w:w="1180" w:type="dxa"/>
            <w:tcBorders/>
            <w:shd w:fill="FFFFFF" w:val="clear"/>
            <w:vAlign w:val="bottom"/>
          </w:tcPr>
          <w:p>
            <w:pPr>
              <w:pStyle w:val="Normal"/>
              <w:rPr>
                <w:rFonts w:eastAsia="Arial Unicode MS"/>
                <w:sz w:val="20"/>
              </w:rPr>
            </w:pPr>
            <w:r>
              <w:rPr>
                <w:sz w:val="20"/>
              </w:rPr>
              <w:t xml:space="preserve">      </w:t>
            </w:r>
            <w:r>
              <w:rPr>
                <w:sz w:val="20"/>
              </w:rPr>
              <w:t xml:space="preserve">412,000 </w:t>
            </w:r>
          </w:p>
        </w:tc>
        <w:tc>
          <w:tcPr>
            <w:tcW w:w="700" w:type="dxa"/>
            <w:tcBorders/>
            <w:shd w:fill="FFFFFF" w:val="clear"/>
            <w:vAlign w:val="bottom"/>
          </w:tcPr>
          <w:p>
            <w:pPr>
              <w:pStyle w:val="Normal"/>
              <w:jc w:val="end"/>
              <w:rPr>
                <w:rFonts w:eastAsia="Arial Unicode MS"/>
                <w:sz w:val="20"/>
              </w:rPr>
            </w:pPr>
            <w:r>
              <w:rPr>
                <w:sz w:val="20"/>
              </w:rPr>
              <w:t>0.319</w:t>
            </w:r>
          </w:p>
        </w:tc>
        <w:tc>
          <w:tcPr>
            <w:tcW w:w="920" w:type="dxa"/>
            <w:tcBorders/>
            <w:shd w:fill="FFFFFF" w:val="clear"/>
            <w:vAlign w:val="bottom"/>
          </w:tcPr>
          <w:p>
            <w:pPr>
              <w:pStyle w:val="Normal"/>
              <w:jc w:val="end"/>
              <w:rPr>
                <w:rFonts w:eastAsia="Arial Unicode MS"/>
                <w:sz w:val="20"/>
              </w:rPr>
            </w:pPr>
            <w:r>
              <w:rPr>
                <w:sz w:val="20"/>
              </w:rPr>
              <w:t>0.28524</w:t>
            </w:r>
          </w:p>
        </w:tc>
        <w:tc>
          <w:tcPr>
            <w:tcW w:w="1240" w:type="dxa"/>
            <w:tcBorders/>
            <w:shd w:fill="FFFFFF" w:val="clear"/>
            <w:vAlign w:val="bottom"/>
          </w:tcPr>
          <w:p>
            <w:pPr>
              <w:pStyle w:val="Normal"/>
              <w:rPr>
                <w:rFonts w:eastAsia="Arial Unicode MS"/>
                <w:sz w:val="20"/>
              </w:rPr>
            </w:pPr>
            <w:r>
              <w:rPr>
                <w:sz w:val="20"/>
              </w:rPr>
              <w:t xml:space="preserve">              </w:t>
            </w:r>
            <w:r>
              <w:rPr>
                <w:sz w:val="20"/>
              </w:rPr>
              <w:t xml:space="preserve">47 </w:t>
            </w:r>
          </w:p>
        </w:tc>
        <w:tc>
          <w:tcPr>
            <w:tcW w:w="1240" w:type="dxa"/>
            <w:tcBorders/>
            <w:shd w:fill="FFFFFF" w:val="clear"/>
            <w:vAlign w:val="bottom"/>
          </w:tcPr>
          <w:p>
            <w:pPr>
              <w:pStyle w:val="Normal"/>
              <w:rPr>
                <w:rFonts w:eastAsia="Arial Unicode MS"/>
                <w:sz w:val="20"/>
              </w:rPr>
            </w:pPr>
            <w:r>
              <w:rPr>
                <w:sz w:val="20"/>
              </w:rPr>
              <w:t xml:space="preserve">               </w:t>
            </w:r>
            <w:r>
              <w:rPr>
                <w:sz w:val="20"/>
              </w:rPr>
              <w:t xml:space="preserve">-   </w:t>
            </w:r>
          </w:p>
        </w:tc>
      </w:tr>
      <w:tr>
        <w:trPr>
          <w:trHeight w:val="255" w:hRule="atLeast"/>
        </w:trPr>
        <w:tc>
          <w:tcPr>
            <w:tcW w:w="1201" w:type="dxa"/>
            <w:tcBorders/>
            <w:shd w:fill="FFFFFF" w:val="clear"/>
            <w:vAlign w:val="bottom"/>
          </w:tcPr>
          <w:p>
            <w:pPr>
              <w:pStyle w:val="Normal"/>
              <w:rPr>
                <w:rFonts w:eastAsia="Arial Unicode MS"/>
                <w:sz w:val="20"/>
              </w:rPr>
            </w:pPr>
            <w:r>
              <w:rPr>
                <w:sz w:val="20"/>
              </w:rPr>
              <w:t>Total</w:t>
            </w:r>
          </w:p>
        </w:tc>
        <w:tc>
          <w:tcPr>
            <w:tcW w:w="719" w:type="dxa"/>
            <w:tcBorders/>
            <w:shd w:fill="FFFFFF" w:val="clear"/>
            <w:vAlign w:val="bottom"/>
          </w:tcPr>
          <w:p>
            <w:pPr>
              <w:pStyle w:val="Normal"/>
              <w:rPr>
                <w:rFonts w:eastAsia="Arial Unicode MS"/>
                <w:sz w:val="20"/>
              </w:rPr>
            </w:pPr>
            <w:r>
              <w:rPr>
                <w:sz w:val="20"/>
              </w:rPr>
              <w:t> </w:t>
            </w:r>
          </w:p>
        </w:tc>
        <w:tc>
          <w:tcPr>
            <w:tcW w:w="1201" w:type="dxa"/>
            <w:tcBorders/>
            <w:shd w:fill="FFFFFF" w:val="clear"/>
            <w:vAlign w:val="bottom"/>
          </w:tcPr>
          <w:p>
            <w:pPr>
              <w:pStyle w:val="Normal"/>
              <w:rPr>
                <w:rFonts w:eastAsia="Arial Unicode MS"/>
                <w:sz w:val="20"/>
              </w:rPr>
            </w:pPr>
            <w:r>
              <w:rPr>
                <w:sz w:val="20"/>
              </w:rPr>
              <w:t> </w:t>
            </w:r>
          </w:p>
        </w:tc>
        <w:tc>
          <w:tcPr>
            <w:tcW w:w="1180" w:type="dxa"/>
            <w:tcBorders/>
            <w:shd w:fill="FFFFFF" w:val="clear"/>
            <w:vAlign w:val="bottom"/>
          </w:tcPr>
          <w:p>
            <w:pPr>
              <w:pStyle w:val="Normal"/>
              <w:rPr>
                <w:rFonts w:eastAsia="Arial Unicode MS"/>
                <w:sz w:val="20"/>
              </w:rPr>
            </w:pPr>
            <w:r>
              <w:rPr>
                <w:sz w:val="20"/>
              </w:rPr>
              <w:t> </w:t>
            </w:r>
          </w:p>
        </w:tc>
        <w:tc>
          <w:tcPr>
            <w:tcW w:w="1180" w:type="dxa"/>
            <w:tcBorders/>
            <w:shd w:fill="FFFFFF" w:val="clear"/>
            <w:vAlign w:val="bottom"/>
          </w:tcPr>
          <w:p>
            <w:pPr>
              <w:pStyle w:val="Normal"/>
              <w:rPr>
                <w:rFonts w:eastAsia="Arial Unicode MS"/>
                <w:b/>
                <w:bCs/>
                <w:sz w:val="20"/>
              </w:rPr>
            </w:pPr>
            <w:r>
              <w:rPr>
                <w:b/>
                <w:bCs/>
                <w:sz w:val="20"/>
              </w:rPr>
              <w:t xml:space="preserve">   </w:t>
            </w:r>
            <w:r>
              <w:rPr>
                <w:b/>
                <w:bCs/>
                <w:sz w:val="20"/>
              </w:rPr>
              <w:t xml:space="preserve">1,044,000 </w:t>
            </w:r>
          </w:p>
        </w:tc>
        <w:tc>
          <w:tcPr>
            <w:tcW w:w="700" w:type="dxa"/>
            <w:tcBorders/>
            <w:shd w:fill="FFFFFF" w:val="clear"/>
            <w:vAlign w:val="bottom"/>
          </w:tcPr>
          <w:p>
            <w:pPr>
              <w:pStyle w:val="Normal"/>
              <w:rPr>
                <w:rFonts w:eastAsia="Arial Unicode MS"/>
                <w:sz w:val="20"/>
              </w:rPr>
            </w:pPr>
            <w:r>
              <w:rPr>
                <w:sz w:val="20"/>
              </w:rPr>
              <w:t> </w:t>
            </w:r>
          </w:p>
        </w:tc>
        <w:tc>
          <w:tcPr>
            <w:tcW w:w="920" w:type="dxa"/>
            <w:tcBorders/>
            <w:shd w:fill="FFFFFF" w:val="clear"/>
            <w:vAlign w:val="bottom"/>
          </w:tcPr>
          <w:p>
            <w:pPr>
              <w:pStyle w:val="Normal"/>
              <w:rPr>
                <w:rFonts w:eastAsia="Arial Unicode MS"/>
                <w:sz w:val="20"/>
              </w:rPr>
            </w:pPr>
            <w:r>
              <w:rPr>
                <w:sz w:val="20"/>
              </w:rPr>
              <w:t> </w:t>
            </w:r>
          </w:p>
        </w:tc>
        <w:tc>
          <w:tcPr>
            <w:tcW w:w="1240" w:type="dxa"/>
            <w:tcBorders/>
            <w:shd w:fill="FFFFFF" w:val="clear"/>
            <w:vAlign w:val="bottom"/>
          </w:tcPr>
          <w:p>
            <w:pPr>
              <w:pStyle w:val="Normal"/>
              <w:rPr>
                <w:rFonts w:eastAsia="Arial Unicode MS"/>
                <w:sz w:val="20"/>
              </w:rPr>
            </w:pPr>
            <w:r>
              <w:rPr>
                <w:sz w:val="20"/>
              </w:rPr>
              <w:t xml:space="preserve">            </w:t>
            </w:r>
            <w:r>
              <w:rPr>
                <w:sz w:val="20"/>
              </w:rPr>
              <w:t>(319)</w:t>
            </w:r>
          </w:p>
        </w:tc>
        <w:tc>
          <w:tcPr>
            <w:tcW w:w="1240" w:type="dxa"/>
            <w:tcBorders/>
            <w:shd w:fill="FFFFFF" w:val="clear"/>
            <w:vAlign w:val="bottom"/>
          </w:tcPr>
          <w:p>
            <w:pPr>
              <w:pStyle w:val="Normal"/>
              <w:rPr>
                <w:rFonts w:eastAsia="Arial Unicode MS"/>
                <w:b/>
                <w:bCs/>
                <w:sz w:val="20"/>
              </w:rPr>
            </w:pPr>
            <w:r>
              <w:rPr>
                <w:b/>
                <w:bCs/>
                <w:sz w:val="20"/>
              </w:rPr>
              <w:t xml:space="preserve">     </w:t>
            </w:r>
            <w:r>
              <w:rPr>
                <w:b/>
                <w:bCs/>
                <w:sz w:val="20"/>
              </w:rPr>
              <w:t>(734,340)</w:t>
            </w:r>
          </w:p>
        </w:tc>
      </w:tr>
      <w:tr>
        <w:trPr>
          <w:trHeight w:val="255" w:hRule="atLeast"/>
        </w:trPr>
        <w:tc>
          <w:tcPr>
            <w:tcW w:w="1201" w:type="dxa"/>
            <w:tcBorders/>
            <w:shd w:fill="FFFFFF" w:val="clear"/>
            <w:vAlign w:val="bottom"/>
          </w:tcPr>
          <w:p>
            <w:pPr>
              <w:pStyle w:val="Normal"/>
              <w:rPr>
                <w:rFonts w:eastAsia="Arial Unicode MS"/>
                <w:sz w:val="20"/>
              </w:rPr>
            </w:pPr>
            <w:r>
              <w:rPr>
                <w:sz w:val="20"/>
              </w:rPr>
              <w:t> </w:t>
            </w:r>
          </w:p>
        </w:tc>
        <w:tc>
          <w:tcPr>
            <w:tcW w:w="719" w:type="dxa"/>
            <w:tcBorders/>
            <w:shd w:fill="FFFFFF" w:val="clear"/>
            <w:vAlign w:val="bottom"/>
          </w:tcPr>
          <w:p>
            <w:pPr>
              <w:pStyle w:val="Normal"/>
              <w:rPr>
                <w:rFonts w:eastAsia="Arial Unicode MS"/>
                <w:sz w:val="20"/>
              </w:rPr>
            </w:pPr>
            <w:r>
              <w:rPr>
                <w:sz w:val="20"/>
              </w:rPr>
              <w:t> </w:t>
            </w:r>
          </w:p>
        </w:tc>
        <w:tc>
          <w:tcPr>
            <w:tcW w:w="1201" w:type="dxa"/>
            <w:tcBorders/>
            <w:shd w:fill="FFFFFF" w:val="clear"/>
            <w:vAlign w:val="bottom"/>
          </w:tcPr>
          <w:p>
            <w:pPr>
              <w:pStyle w:val="Normal"/>
              <w:rPr>
                <w:rFonts w:eastAsia="Arial Unicode MS"/>
                <w:sz w:val="20"/>
              </w:rPr>
            </w:pPr>
            <w:r>
              <w:rPr>
                <w:sz w:val="20"/>
              </w:rPr>
              <w:t> </w:t>
            </w:r>
          </w:p>
        </w:tc>
        <w:tc>
          <w:tcPr>
            <w:tcW w:w="1180" w:type="dxa"/>
            <w:tcBorders/>
            <w:shd w:fill="FFFFFF" w:val="clear"/>
            <w:vAlign w:val="bottom"/>
          </w:tcPr>
          <w:p>
            <w:pPr>
              <w:pStyle w:val="Normal"/>
              <w:rPr>
                <w:rFonts w:eastAsia="Arial Unicode MS"/>
                <w:sz w:val="20"/>
              </w:rPr>
            </w:pPr>
            <w:r>
              <w:rPr>
                <w:sz w:val="20"/>
              </w:rPr>
              <w:t> </w:t>
            </w:r>
          </w:p>
        </w:tc>
        <w:tc>
          <w:tcPr>
            <w:tcW w:w="1180" w:type="dxa"/>
            <w:tcBorders/>
            <w:shd w:fill="FFFFFF" w:val="clear"/>
            <w:vAlign w:val="bottom"/>
          </w:tcPr>
          <w:p>
            <w:pPr>
              <w:pStyle w:val="Normal"/>
              <w:rPr>
                <w:rFonts w:eastAsia="Arial Unicode MS"/>
                <w:sz w:val="20"/>
              </w:rPr>
            </w:pPr>
            <w:r>
              <w:rPr>
                <w:sz w:val="20"/>
              </w:rPr>
              <w:t> </w:t>
            </w:r>
          </w:p>
        </w:tc>
        <w:tc>
          <w:tcPr>
            <w:tcW w:w="700" w:type="dxa"/>
            <w:tcBorders/>
            <w:shd w:fill="FFFFFF" w:val="clear"/>
            <w:vAlign w:val="bottom"/>
          </w:tcPr>
          <w:p>
            <w:pPr>
              <w:pStyle w:val="Normal"/>
              <w:rPr>
                <w:rFonts w:eastAsia="Arial Unicode MS"/>
                <w:sz w:val="20"/>
              </w:rPr>
            </w:pPr>
            <w:r>
              <w:rPr>
                <w:sz w:val="20"/>
              </w:rPr>
              <w:t> </w:t>
            </w:r>
          </w:p>
        </w:tc>
        <w:tc>
          <w:tcPr>
            <w:tcW w:w="920" w:type="dxa"/>
            <w:tcBorders/>
            <w:shd w:fill="FFFFFF" w:val="clear"/>
            <w:vAlign w:val="bottom"/>
          </w:tcPr>
          <w:p>
            <w:pPr>
              <w:pStyle w:val="Normal"/>
              <w:rPr>
                <w:rFonts w:eastAsia="Arial Unicode MS"/>
                <w:sz w:val="20"/>
              </w:rPr>
            </w:pPr>
            <w:r>
              <w:rPr>
                <w:sz w:val="20"/>
              </w:rPr>
              <w:t> </w:t>
            </w:r>
          </w:p>
        </w:tc>
        <w:tc>
          <w:tcPr>
            <w:tcW w:w="1240" w:type="dxa"/>
            <w:tcBorders/>
            <w:shd w:fill="FFFFFF" w:val="clear"/>
            <w:vAlign w:val="bottom"/>
          </w:tcPr>
          <w:p>
            <w:pPr>
              <w:pStyle w:val="Normal"/>
              <w:rPr>
                <w:rFonts w:eastAsia="Arial Unicode MS"/>
                <w:sz w:val="20"/>
              </w:rPr>
            </w:pPr>
            <w:r>
              <w:rPr>
                <w:sz w:val="20"/>
              </w:rPr>
              <w:t> </w:t>
            </w:r>
          </w:p>
        </w:tc>
        <w:tc>
          <w:tcPr>
            <w:tcW w:w="1240" w:type="dxa"/>
            <w:tcBorders/>
            <w:shd w:fill="FFFFFF" w:val="clear"/>
            <w:vAlign w:val="bottom"/>
          </w:tcPr>
          <w:p>
            <w:pPr>
              <w:pStyle w:val="Normal"/>
              <w:rPr>
                <w:rFonts w:eastAsia="Arial Unicode MS"/>
                <w:sz w:val="20"/>
              </w:rPr>
            </w:pPr>
            <w:r>
              <w:rPr>
                <w:sz w:val="20"/>
              </w:rPr>
              <w:t> </w:t>
            </w:r>
          </w:p>
        </w:tc>
      </w:tr>
      <w:tr>
        <w:trPr>
          <w:trHeight w:val="255" w:hRule="atLeast"/>
        </w:trPr>
        <w:tc>
          <w:tcPr>
            <w:tcW w:w="1920" w:type="dxa"/>
            <w:gridSpan w:val="2"/>
            <w:tcBorders/>
            <w:shd w:fill="FFFFFF" w:val="clear"/>
            <w:vAlign w:val="bottom"/>
          </w:tcPr>
          <w:p>
            <w:pPr>
              <w:pStyle w:val="Normal"/>
              <w:rPr>
                <w:rFonts w:eastAsia="Arial Unicode MS"/>
                <w:sz w:val="20"/>
              </w:rPr>
            </w:pPr>
            <w:r>
              <w:rPr>
                <w:sz w:val="20"/>
              </w:rPr>
              <w:t>Calculations:</w:t>
            </w:r>
          </w:p>
        </w:tc>
        <w:tc>
          <w:tcPr>
            <w:tcW w:w="1201" w:type="dxa"/>
            <w:tcBorders/>
            <w:shd w:fill="FFFFFF" w:val="clear"/>
            <w:vAlign w:val="bottom"/>
          </w:tcPr>
          <w:p>
            <w:pPr>
              <w:pStyle w:val="Normal"/>
              <w:rPr>
                <w:rFonts w:eastAsia="Arial Unicode MS"/>
                <w:sz w:val="20"/>
              </w:rPr>
            </w:pPr>
            <w:r>
              <w:rPr>
                <w:sz w:val="20"/>
              </w:rPr>
              <w:t> </w:t>
            </w:r>
          </w:p>
        </w:tc>
        <w:tc>
          <w:tcPr>
            <w:tcW w:w="1180" w:type="dxa"/>
            <w:tcBorders/>
            <w:shd w:fill="FFFFFF" w:val="clear"/>
            <w:vAlign w:val="bottom"/>
          </w:tcPr>
          <w:p>
            <w:pPr>
              <w:pStyle w:val="Normal"/>
              <w:rPr>
                <w:rFonts w:eastAsia="Arial Unicode MS"/>
                <w:sz w:val="20"/>
              </w:rPr>
            </w:pPr>
            <w:r>
              <w:rPr>
                <w:sz w:val="20"/>
              </w:rPr>
              <w:t> </w:t>
            </w:r>
          </w:p>
        </w:tc>
        <w:tc>
          <w:tcPr>
            <w:tcW w:w="1180" w:type="dxa"/>
            <w:tcBorders/>
            <w:shd w:fill="FFFFFF" w:val="clear"/>
            <w:vAlign w:val="bottom"/>
          </w:tcPr>
          <w:p>
            <w:pPr>
              <w:pStyle w:val="Normal"/>
              <w:rPr>
                <w:rFonts w:eastAsia="Arial Unicode MS"/>
                <w:sz w:val="20"/>
              </w:rPr>
            </w:pPr>
            <w:r>
              <w:rPr>
                <w:sz w:val="20"/>
              </w:rPr>
              <w:t> </w:t>
            </w:r>
          </w:p>
        </w:tc>
        <w:tc>
          <w:tcPr>
            <w:tcW w:w="700" w:type="dxa"/>
            <w:tcBorders/>
            <w:shd w:fill="FFFFFF" w:val="clear"/>
            <w:vAlign w:val="bottom"/>
          </w:tcPr>
          <w:p>
            <w:pPr>
              <w:pStyle w:val="Normal"/>
              <w:rPr>
                <w:rFonts w:eastAsia="Arial Unicode MS"/>
                <w:sz w:val="20"/>
              </w:rPr>
            </w:pPr>
            <w:r>
              <w:rPr>
                <w:sz w:val="20"/>
              </w:rPr>
              <w:t> </w:t>
            </w:r>
          </w:p>
        </w:tc>
        <w:tc>
          <w:tcPr>
            <w:tcW w:w="920" w:type="dxa"/>
            <w:tcBorders/>
            <w:shd w:fill="FFFFFF" w:val="clear"/>
            <w:vAlign w:val="bottom"/>
          </w:tcPr>
          <w:p>
            <w:pPr>
              <w:pStyle w:val="Normal"/>
              <w:rPr>
                <w:rFonts w:eastAsia="Arial Unicode MS"/>
                <w:sz w:val="20"/>
              </w:rPr>
            </w:pPr>
            <w:r>
              <w:rPr>
                <w:sz w:val="20"/>
              </w:rPr>
              <w:t> </w:t>
            </w:r>
          </w:p>
        </w:tc>
        <w:tc>
          <w:tcPr>
            <w:tcW w:w="1240" w:type="dxa"/>
            <w:tcBorders/>
            <w:shd w:fill="FFFFFF" w:val="clear"/>
            <w:vAlign w:val="bottom"/>
          </w:tcPr>
          <w:p>
            <w:pPr>
              <w:pStyle w:val="Normal"/>
              <w:rPr>
                <w:rFonts w:eastAsia="Arial Unicode MS"/>
                <w:sz w:val="20"/>
              </w:rPr>
            </w:pPr>
            <w:r>
              <w:rPr>
                <w:sz w:val="20"/>
              </w:rPr>
              <w:t> </w:t>
            </w:r>
          </w:p>
        </w:tc>
        <w:tc>
          <w:tcPr>
            <w:tcW w:w="1240" w:type="dxa"/>
            <w:tcBorders/>
            <w:shd w:fill="FFFFFF" w:val="clear"/>
            <w:vAlign w:val="bottom"/>
          </w:tcPr>
          <w:p>
            <w:pPr>
              <w:pStyle w:val="Normal"/>
              <w:rPr>
                <w:rFonts w:eastAsia="Arial Unicode MS"/>
                <w:sz w:val="20"/>
              </w:rPr>
            </w:pPr>
            <w:r>
              <w:rPr>
                <w:sz w:val="20"/>
              </w:rPr>
              <w:t> </w:t>
            </w:r>
          </w:p>
        </w:tc>
      </w:tr>
      <w:tr>
        <w:trPr>
          <w:trHeight w:val="255" w:hRule="atLeast"/>
        </w:trPr>
        <w:tc>
          <w:tcPr>
            <w:tcW w:w="1201" w:type="dxa"/>
            <w:tcBorders/>
            <w:shd w:fill="FFFFFF" w:val="clear"/>
            <w:vAlign w:val="bottom"/>
          </w:tcPr>
          <w:p>
            <w:pPr>
              <w:pStyle w:val="Normal"/>
              <w:jc w:val="end"/>
              <w:rPr>
                <w:rFonts w:eastAsia="Arial Unicode MS"/>
                <w:sz w:val="20"/>
              </w:rPr>
            </w:pPr>
            <w:r>
              <w:rPr>
                <w:sz w:val="20"/>
              </w:rPr>
              <w:t>1</w:t>
            </w:r>
          </w:p>
        </w:tc>
        <w:tc>
          <w:tcPr>
            <w:tcW w:w="4280" w:type="dxa"/>
            <w:gridSpan w:val="4"/>
            <w:tcBorders/>
            <w:shd w:fill="FFFFFF" w:val="clear"/>
            <w:vAlign w:val="bottom"/>
          </w:tcPr>
          <w:p>
            <w:pPr>
              <w:pStyle w:val="Normal"/>
              <w:rPr>
                <w:rFonts w:eastAsia="Arial Unicode MS"/>
                <w:sz w:val="20"/>
              </w:rPr>
            </w:pPr>
            <w:r>
              <w:rPr>
                <w:sz w:val="20"/>
              </w:rPr>
              <w:t>Call premium x 1000 calls x 1000 barrels</w:t>
            </w:r>
          </w:p>
        </w:tc>
        <w:tc>
          <w:tcPr>
            <w:tcW w:w="700" w:type="dxa"/>
            <w:tcBorders/>
            <w:shd w:fill="FFFFFF" w:val="clear"/>
            <w:vAlign w:val="bottom"/>
          </w:tcPr>
          <w:p>
            <w:pPr>
              <w:pStyle w:val="Normal"/>
              <w:rPr>
                <w:rFonts w:eastAsia="Arial Unicode MS"/>
                <w:sz w:val="20"/>
              </w:rPr>
            </w:pPr>
            <w:r>
              <w:rPr>
                <w:sz w:val="20"/>
              </w:rPr>
              <w:t> </w:t>
            </w:r>
          </w:p>
        </w:tc>
        <w:tc>
          <w:tcPr>
            <w:tcW w:w="920" w:type="dxa"/>
            <w:tcBorders/>
            <w:shd w:fill="FFFFFF" w:val="clear"/>
            <w:vAlign w:val="bottom"/>
          </w:tcPr>
          <w:p>
            <w:pPr>
              <w:pStyle w:val="Normal"/>
              <w:rPr>
                <w:rFonts w:eastAsia="Arial Unicode MS"/>
                <w:sz w:val="20"/>
              </w:rPr>
            </w:pPr>
            <w:r>
              <w:rPr>
                <w:sz w:val="20"/>
              </w:rPr>
              <w:t> </w:t>
            </w:r>
          </w:p>
        </w:tc>
        <w:tc>
          <w:tcPr>
            <w:tcW w:w="1240" w:type="dxa"/>
            <w:tcBorders/>
            <w:shd w:fill="FFFFFF" w:val="clear"/>
            <w:vAlign w:val="bottom"/>
          </w:tcPr>
          <w:p>
            <w:pPr>
              <w:pStyle w:val="Normal"/>
              <w:rPr>
                <w:rFonts w:eastAsia="Arial Unicode MS"/>
                <w:sz w:val="20"/>
              </w:rPr>
            </w:pPr>
            <w:r>
              <w:rPr>
                <w:sz w:val="20"/>
              </w:rPr>
              <w:t> </w:t>
            </w:r>
          </w:p>
        </w:tc>
        <w:tc>
          <w:tcPr>
            <w:tcW w:w="1240" w:type="dxa"/>
            <w:tcBorders/>
            <w:shd w:fill="FFFFFF" w:val="clear"/>
            <w:vAlign w:val="bottom"/>
          </w:tcPr>
          <w:p>
            <w:pPr>
              <w:pStyle w:val="Normal"/>
              <w:rPr>
                <w:rFonts w:eastAsia="Arial Unicode MS"/>
                <w:sz w:val="20"/>
              </w:rPr>
            </w:pPr>
            <w:r>
              <w:rPr>
                <w:sz w:val="20"/>
              </w:rPr>
              <w:t> </w:t>
            </w:r>
          </w:p>
        </w:tc>
      </w:tr>
      <w:tr>
        <w:trPr>
          <w:trHeight w:val="255" w:hRule="atLeast"/>
        </w:trPr>
        <w:tc>
          <w:tcPr>
            <w:tcW w:w="1201" w:type="dxa"/>
            <w:tcBorders/>
            <w:shd w:fill="FFFFFF" w:val="clear"/>
            <w:vAlign w:val="bottom"/>
          </w:tcPr>
          <w:p>
            <w:pPr>
              <w:pStyle w:val="Normal"/>
              <w:jc w:val="end"/>
              <w:rPr>
                <w:rFonts w:eastAsia="Arial Unicode MS"/>
                <w:sz w:val="20"/>
              </w:rPr>
            </w:pPr>
            <w:r>
              <w:rPr>
                <w:sz w:val="20"/>
              </w:rPr>
              <w:t>2</w:t>
            </w:r>
          </w:p>
        </w:tc>
        <w:tc>
          <w:tcPr>
            <w:tcW w:w="4980" w:type="dxa"/>
            <w:gridSpan w:val="5"/>
            <w:tcBorders/>
            <w:shd w:fill="FFFFFF" w:val="clear"/>
            <w:vAlign w:val="bottom"/>
          </w:tcPr>
          <w:p>
            <w:pPr>
              <w:pStyle w:val="Normal"/>
              <w:rPr>
                <w:rFonts w:eastAsia="Arial Unicode MS"/>
                <w:sz w:val="20"/>
              </w:rPr>
            </w:pPr>
            <w:r>
              <w:rPr>
                <w:sz w:val="20"/>
              </w:rPr>
              <w:t>Premium day T less premium day T-1 x 1000 x 1000</w:t>
            </w:r>
          </w:p>
        </w:tc>
        <w:tc>
          <w:tcPr>
            <w:tcW w:w="920" w:type="dxa"/>
            <w:tcBorders/>
            <w:shd w:fill="FFFFFF" w:val="clear"/>
            <w:vAlign w:val="bottom"/>
          </w:tcPr>
          <w:p>
            <w:pPr>
              <w:pStyle w:val="Normal"/>
              <w:rPr>
                <w:rFonts w:eastAsia="Arial Unicode MS"/>
                <w:sz w:val="20"/>
              </w:rPr>
            </w:pPr>
            <w:r>
              <w:rPr>
                <w:sz w:val="20"/>
              </w:rPr>
              <w:t> </w:t>
            </w:r>
          </w:p>
        </w:tc>
        <w:tc>
          <w:tcPr>
            <w:tcW w:w="1240" w:type="dxa"/>
            <w:tcBorders/>
            <w:shd w:fill="FFFFFF" w:val="clear"/>
            <w:vAlign w:val="bottom"/>
          </w:tcPr>
          <w:p>
            <w:pPr>
              <w:pStyle w:val="Normal"/>
              <w:rPr>
                <w:rFonts w:eastAsia="Arial Unicode MS"/>
                <w:sz w:val="20"/>
              </w:rPr>
            </w:pPr>
            <w:r>
              <w:rPr>
                <w:sz w:val="20"/>
              </w:rPr>
              <w:t> </w:t>
            </w:r>
          </w:p>
        </w:tc>
        <w:tc>
          <w:tcPr>
            <w:tcW w:w="1240" w:type="dxa"/>
            <w:tcBorders/>
            <w:shd w:fill="FFFFFF" w:val="clear"/>
            <w:vAlign w:val="bottom"/>
          </w:tcPr>
          <w:p>
            <w:pPr>
              <w:pStyle w:val="Normal"/>
              <w:rPr>
                <w:rFonts w:eastAsia="Arial Unicode MS"/>
                <w:sz w:val="20"/>
              </w:rPr>
            </w:pPr>
            <w:r>
              <w:rPr>
                <w:sz w:val="20"/>
              </w:rPr>
              <w:t> </w:t>
            </w:r>
          </w:p>
        </w:tc>
      </w:tr>
      <w:tr>
        <w:trPr>
          <w:trHeight w:val="255" w:hRule="atLeast"/>
        </w:trPr>
        <w:tc>
          <w:tcPr>
            <w:tcW w:w="1201" w:type="dxa"/>
            <w:tcBorders/>
            <w:shd w:fill="FFFFFF" w:val="clear"/>
            <w:vAlign w:val="bottom"/>
          </w:tcPr>
          <w:p>
            <w:pPr>
              <w:pStyle w:val="Normal"/>
              <w:jc w:val="end"/>
              <w:rPr>
                <w:rFonts w:eastAsia="Arial Unicode MS"/>
                <w:sz w:val="20"/>
              </w:rPr>
            </w:pPr>
            <w:r>
              <w:rPr>
                <w:sz w:val="20"/>
              </w:rPr>
              <w:t>3</w:t>
            </w:r>
          </w:p>
        </w:tc>
        <w:tc>
          <w:tcPr>
            <w:tcW w:w="4280" w:type="dxa"/>
            <w:gridSpan w:val="4"/>
            <w:tcBorders/>
            <w:shd w:fill="FFFFFF" w:val="clear"/>
            <w:vAlign w:val="bottom"/>
          </w:tcPr>
          <w:p>
            <w:pPr>
              <w:pStyle w:val="Normal"/>
              <w:rPr>
                <w:rFonts w:eastAsia="Arial Unicode MS"/>
                <w:sz w:val="20"/>
              </w:rPr>
            </w:pPr>
            <w:r>
              <w:rPr>
                <w:sz w:val="20"/>
              </w:rPr>
              <w:t>Delta day T less delta day T-1 x 1000 contracts</w:t>
            </w:r>
          </w:p>
        </w:tc>
        <w:tc>
          <w:tcPr>
            <w:tcW w:w="700" w:type="dxa"/>
            <w:tcBorders/>
            <w:shd w:fill="FFFFFF" w:val="clear"/>
            <w:vAlign w:val="bottom"/>
          </w:tcPr>
          <w:p>
            <w:pPr>
              <w:pStyle w:val="Normal"/>
              <w:rPr>
                <w:rFonts w:eastAsia="Arial Unicode MS"/>
                <w:sz w:val="20"/>
              </w:rPr>
            </w:pPr>
            <w:r>
              <w:rPr>
                <w:sz w:val="20"/>
              </w:rPr>
              <w:t> </w:t>
            </w:r>
          </w:p>
        </w:tc>
        <w:tc>
          <w:tcPr>
            <w:tcW w:w="920" w:type="dxa"/>
            <w:tcBorders/>
            <w:shd w:fill="FFFFFF" w:val="clear"/>
            <w:vAlign w:val="bottom"/>
          </w:tcPr>
          <w:p>
            <w:pPr>
              <w:pStyle w:val="Normal"/>
              <w:rPr>
                <w:rFonts w:eastAsia="Arial Unicode MS"/>
                <w:sz w:val="20"/>
              </w:rPr>
            </w:pPr>
            <w:r>
              <w:rPr>
                <w:sz w:val="20"/>
              </w:rPr>
              <w:t> </w:t>
            </w:r>
          </w:p>
        </w:tc>
        <w:tc>
          <w:tcPr>
            <w:tcW w:w="1240" w:type="dxa"/>
            <w:tcBorders/>
            <w:shd w:fill="FFFFFF" w:val="clear"/>
            <w:vAlign w:val="bottom"/>
          </w:tcPr>
          <w:p>
            <w:pPr>
              <w:pStyle w:val="Normal"/>
              <w:rPr>
                <w:rFonts w:eastAsia="Arial Unicode MS"/>
                <w:sz w:val="20"/>
              </w:rPr>
            </w:pPr>
            <w:r>
              <w:rPr>
                <w:sz w:val="20"/>
              </w:rPr>
              <w:t> </w:t>
            </w:r>
          </w:p>
        </w:tc>
        <w:tc>
          <w:tcPr>
            <w:tcW w:w="1240" w:type="dxa"/>
            <w:tcBorders/>
            <w:shd w:fill="FFFFFF" w:val="clear"/>
            <w:vAlign w:val="bottom"/>
          </w:tcPr>
          <w:p>
            <w:pPr>
              <w:pStyle w:val="Normal"/>
              <w:rPr>
                <w:rFonts w:eastAsia="Arial Unicode MS"/>
                <w:sz w:val="20"/>
              </w:rPr>
            </w:pPr>
            <w:r>
              <w:rPr>
                <w:sz w:val="20"/>
              </w:rPr>
              <w:t> </w:t>
            </w:r>
          </w:p>
        </w:tc>
      </w:tr>
      <w:tr>
        <w:trPr>
          <w:trHeight w:val="255" w:hRule="atLeast"/>
        </w:trPr>
        <w:tc>
          <w:tcPr>
            <w:tcW w:w="1201" w:type="dxa"/>
            <w:tcBorders/>
            <w:shd w:fill="FFFFFF" w:val="clear"/>
            <w:vAlign w:val="bottom"/>
          </w:tcPr>
          <w:p>
            <w:pPr>
              <w:pStyle w:val="Normal"/>
              <w:jc w:val="end"/>
              <w:rPr>
                <w:rFonts w:eastAsia="Arial Unicode MS"/>
                <w:sz w:val="20"/>
              </w:rPr>
            </w:pPr>
            <w:r>
              <w:rPr>
                <w:sz w:val="20"/>
              </w:rPr>
              <w:t>4</w:t>
            </w:r>
          </w:p>
        </w:tc>
        <w:tc>
          <w:tcPr>
            <w:tcW w:w="4980" w:type="dxa"/>
            <w:gridSpan w:val="5"/>
            <w:tcBorders/>
            <w:shd w:fill="FFFFFF" w:val="clear"/>
            <w:vAlign w:val="bottom"/>
          </w:tcPr>
          <w:p>
            <w:pPr>
              <w:pStyle w:val="Normal"/>
              <w:rPr>
                <w:rFonts w:eastAsia="Arial Unicode MS"/>
                <w:sz w:val="20"/>
              </w:rPr>
            </w:pPr>
            <w:r>
              <w:rPr>
                <w:sz w:val="20"/>
              </w:rPr>
              <w:t>Price day T less final price x  underlying trade x 1000</w:t>
            </w:r>
          </w:p>
        </w:tc>
        <w:tc>
          <w:tcPr>
            <w:tcW w:w="920" w:type="dxa"/>
            <w:tcBorders/>
            <w:shd w:fill="FFFFFF" w:val="clear"/>
            <w:vAlign w:val="bottom"/>
          </w:tcPr>
          <w:p>
            <w:pPr>
              <w:pStyle w:val="Normal"/>
              <w:rPr>
                <w:rFonts w:eastAsia="Arial Unicode MS"/>
                <w:sz w:val="20"/>
              </w:rPr>
            </w:pPr>
            <w:r>
              <w:rPr>
                <w:sz w:val="20"/>
              </w:rPr>
              <w:t> </w:t>
            </w:r>
          </w:p>
        </w:tc>
        <w:tc>
          <w:tcPr>
            <w:tcW w:w="1240" w:type="dxa"/>
            <w:tcBorders/>
            <w:shd w:fill="FFFFFF" w:val="clear"/>
            <w:vAlign w:val="bottom"/>
          </w:tcPr>
          <w:p>
            <w:pPr>
              <w:pStyle w:val="Normal"/>
              <w:rPr>
                <w:rFonts w:eastAsia="Arial Unicode MS"/>
                <w:sz w:val="20"/>
              </w:rPr>
            </w:pPr>
            <w:r>
              <w:rPr>
                <w:sz w:val="20"/>
              </w:rPr>
              <w:t> </w:t>
            </w:r>
          </w:p>
        </w:tc>
        <w:tc>
          <w:tcPr>
            <w:tcW w:w="1240" w:type="dxa"/>
            <w:tcBorders/>
            <w:shd w:fill="FFFFFF" w:val="clear"/>
            <w:vAlign w:val="bottom"/>
          </w:tcPr>
          <w:p>
            <w:pPr>
              <w:pStyle w:val="Normal"/>
              <w:rPr>
                <w:rFonts w:eastAsia="Arial Unicode MS"/>
                <w:sz w:val="20"/>
              </w:rPr>
            </w:pPr>
            <w:r>
              <w:rPr>
                <w:sz w:val="20"/>
              </w:rPr>
              <w:t> </w:t>
            </w:r>
          </w:p>
        </w:tc>
      </w:tr>
      <w:tr>
        <w:trPr>
          <w:trHeight w:val="255" w:hRule="atLeast"/>
        </w:trPr>
        <w:tc>
          <w:tcPr>
            <w:tcW w:w="1201" w:type="dxa"/>
            <w:tcBorders/>
            <w:shd w:fill="FFFFFF" w:val="clear"/>
            <w:vAlign w:val="bottom"/>
          </w:tcPr>
          <w:p>
            <w:pPr>
              <w:pStyle w:val="Normal"/>
              <w:rPr>
                <w:rFonts w:eastAsia="Arial Unicode MS"/>
                <w:sz w:val="20"/>
              </w:rPr>
            </w:pPr>
            <w:r>
              <w:rPr>
                <w:sz w:val="20"/>
              </w:rPr>
              <w:t> </w:t>
            </w:r>
          </w:p>
        </w:tc>
        <w:tc>
          <w:tcPr>
            <w:tcW w:w="8380" w:type="dxa"/>
            <w:gridSpan w:val="8"/>
            <w:tcBorders/>
            <w:shd w:fill="FFFFFF" w:val="clear"/>
            <w:vAlign w:val="bottom"/>
          </w:tcPr>
          <w:p>
            <w:pPr>
              <w:pStyle w:val="Normal"/>
              <w:rPr>
                <w:rFonts w:eastAsia="Arial Unicode MS"/>
                <w:sz w:val="20"/>
              </w:rPr>
            </w:pPr>
            <w:r>
              <w:rPr>
                <w:sz w:val="20"/>
              </w:rPr>
              <w:t>Note: On Jan 14 the Underlying P/L was (26 – 26.54) x 517 x 1000 = -$137,741), etc.</w:t>
            </w:r>
          </w:p>
        </w:tc>
      </w:tr>
    </w:tbl>
    <w:p>
      <w:pPr>
        <w:pStyle w:val="Heading1"/>
        <w:ind w:hanging="0" w:start="0"/>
        <w:rPr>
          <w:b/>
          <w:bCs/>
          <w:i w:val="false"/>
          <w:i w:val="false"/>
          <w:iCs/>
        </w:rPr>
      </w:pPr>
      <w:r>
        <w:rPr>
          <w:b/>
          <w:bCs/>
        </w:rPr>
        <w:t xml:space="preserve"> </w:t>
      </w:r>
    </w:p>
    <w:p>
      <w:pPr>
        <w:pStyle w:val="Heading1"/>
        <w:spacing w:lineRule="auto" w:line="480"/>
        <w:ind w:hanging="0" w:start="0"/>
        <w:rPr>
          <w:i w:val="false"/>
          <w:i w:val="false"/>
          <w:iCs/>
        </w:rPr>
      </w:pPr>
      <w:r>
        <w:rPr>
          <w:i w:val="false"/>
          <w:iCs/>
        </w:rPr>
        <w:t xml:space="preserve">On 16-Jan the trader is up $1.04 million less $734 thousand.  The long position has protected him from losses on the underlying.  The trader can continue trading in the position or he could close out the position fully or partially.  If he closes out fully, he would sell the long position in options for $1.04 million.  He would have to back the underlying back at $734,340.  If he has an opinion about the market and believes that prices will not continue to rise, he could buy back some of the underlying, leaving him “naked” long by the amount he buys back.     </w:t>
      </w:r>
    </w:p>
    <w:p>
      <w:pPr>
        <w:pStyle w:val="Heading1"/>
        <w:spacing w:lineRule="auto" w:line="480"/>
        <w:ind w:hanging="0" w:start="0"/>
        <w:rPr>
          <w:i w:val="false"/>
          <w:i w:val="false"/>
          <w:iCs/>
        </w:rPr>
      </w:pPr>
      <w:r>
        <w:rPr>
          <w:i w:val="false"/>
          <w:iCs/>
        </w:rPr>
      </w:r>
    </w:p>
    <w:p>
      <w:pPr>
        <w:pStyle w:val="Heading1"/>
        <w:spacing w:lineRule="auto" w:line="480"/>
        <w:ind w:hanging="0" w:start="0"/>
        <w:rPr>
          <w:b/>
          <w:bCs/>
          <w:i w:val="false"/>
          <w:i w:val="false"/>
          <w:iCs/>
        </w:rPr>
      </w:pPr>
      <w:r>
        <w:rPr>
          <w:b/>
          <w:bCs/>
          <w:i w:val="false"/>
          <w:iCs/>
        </w:rPr>
        <w:t>Delta and Gamma Hedging</w:t>
      </w:r>
    </w:p>
    <w:p>
      <w:pPr>
        <w:pStyle w:val="Normal"/>
        <w:spacing w:lineRule="auto" w:line="480"/>
        <w:jc w:val="both"/>
        <w:rPr/>
      </w:pPr>
      <w:r>
        <w:rPr/>
        <w:t xml:space="preserve">Because of the effects of gamma, the trader’s attempts to remain delta neutral do not really make him perfectly neutral.  Gamma expresses the sensitivity of delta to changes in the underlying.  The delta on the option position is calculated at a certain underlying price.  The amount he trades, based on the delta, is based on that price.  However, “as the underlying price moves by larger amounts, the differences in the value of the option and the delta hedge are greater and do not exactly offset” (Clewlow, </w:t>
      </w:r>
      <w:r>
        <w:rPr>
          <w:i/>
          <w:iCs/>
        </w:rPr>
        <w:t>Energy Derivatives</w:t>
      </w:r>
      <w:r>
        <w:rPr/>
        <w:t xml:space="preserve">, p 9).  When the option moves closer to being at-the-money, the option’s delta changes more dramatically with changes in the underlying. Therefore, traders will hedge both delta and gamma to further neutralize the effects that the changes in the underlying have on their option positions.   </w:t>
      </w:r>
    </w:p>
    <w:p>
      <w:pPr>
        <w:pStyle w:val="Heading1"/>
        <w:spacing w:lineRule="auto" w:line="480"/>
        <w:ind w:hanging="0" w:start="0"/>
        <w:rPr>
          <w:i w:val="false"/>
          <w:i w:val="false"/>
          <w:iCs/>
        </w:rPr>
      </w:pPr>
      <w:r>
        <w:rPr>
          <w:i w:val="false"/>
          <w:iCs/>
        </w:rPr>
        <w:t xml:space="preserve"> </w:t>
      </w:r>
    </w:p>
    <w:p>
      <w:pPr>
        <w:pStyle w:val="Heading1"/>
        <w:spacing w:lineRule="auto" w:line="480"/>
        <w:ind w:hanging="0" w:start="0"/>
        <w:rPr>
          <w:b/>
          <w:bCs/>
          <w:i w:val="false"/>
          <w:i w:val="false"/>
          <w:iCs/>
        </w:rPr>
      </w:pPr>
      <w:r>
        <w:rPr>
          <w:b/>
          <w:bCs/>
          <w:i w:val="false"/>
          <w:iCs/>
        </w:rPr>
        <w:t>Risk Management of Long-Term Positions</w:t>
      </w:r>
    </w:p>
    <w:p>
      <w:pPr>
        <w:pStyle w:val="Normal"/>
        <w:spacing w:lineRule="auto" w:line="480"/>
        <w:jc w:val="both"/>
        <w:rPr/>
      </w:pPr>
      <w:r>
        <w:rPr/>
        <w:t xml:space="preserve">A risk manager provides information for pricing deals as well as marks his positions to market each day based on an estimation of where long-term prices are.  But finding long-term price curves in power markets is rare.  Several methods help risk managers derive long-term price curves in illiquid markets (outline abstracted from Kramer, </w:t>
      </w:r>
      <w:r>
        <w:rPr>
          <w:i/>
          <w:iCs/>
        </w:rPr>
        <w:t>Energy Derivatives, Trading…</w:t>
      </w:r>
      <w:r>
        <w:rPr/>
        <w:t>).</w:t>
      </w:r>
    </w:p>
    <w:p>
      <w:pPr>
        <w:pStyle w:val="Normal"/>
        <w:spacing w:lineRule="auto" w:line="480"/>
        <w:jc w:val="both"/>
        <w:rPr/>
      </w:pPr>
      <w:r>
        <w:rPr/>
      </w:r>
    </w:p>
    <w:p>
      <w:pPr>
        <w:pStyle w:val="Normal"/>
        <w:numPr>
          <w:ilvl w:val="0"/>
          <w:numId w:val="2"/>
        </w:numPr>
        <w:spacing w:lineRule="auto" w:line="480"/>
        <w:jc w:val="both"/>
        <w:rPr/>
      </w:pPr>
      <w:r>
        <w:rPr/>
        <w:t xml:space="preserve">Fitting Strips:  With the occasional long-term quote, short-term quotes indicate the seasonality of the energy price and can be used to model long-term curves.  </w:t>
      </w:r>
    </w:p>
    <w:p>
      <w:pPr>
        <w:pStyle w:val="Normal"/>
        <w:numPr>
          <w:ilvl w:val="0"/>
          <w:numId w:val="2"/>
        </w:numPr>
        <w:spacing w:lineRule="auto" w:line="480"/>
        <w:jc w:val="both"/>
        <w:rPr/>
      </w:pPr>
      <w:r>
        <w:rPr/>
        <w:t xml:space="preserve">Hub spreads:  When hubs are illiquid, long-term price curves are derived using liquid hubs and the basis differentials to the more liquid trading points.  For example, given the calendar ’01 and ’02 prices curves by month for Cinergy, and only the ’01 curve by month for Entergy, the ’02 curve by month for Entergy can be calculated. </w:t>
      </w:r>
    </w:p>
    <w:p>
      <w:pPr>
        <w:pStyle w:val="Normal"/>
        <w:numPr>
          <w:ilvl w:val="0"/>
          <w:numId w:val="2"/>
        </w:numPr>
        <w:spacing w:lineRule="auto" w:line="480"/>
        <w:jc w:val="both"/>
        <w:rPr/>
      </w:pPr>
      <w:r>
        <w:rPr/>
        <w:t xml:space="preserve">Historical Index Shaping:  Price curves from historical periods with similar conditions to the expected future period, above average temperature or rainfall for example, help risk managers develop long term price curves.  </w:t>
      </w:r>
    </w:p>
    <w:p>
      <w:pPr>
        <w:pStyle w:val="Normal"/>
        <w:numPr>
          <w:ilvl w:val="0"/>
          <w:numId w:val="2"/>
        </w:numPr>
        <w:spacing w:lineRule="auto" w:line="480"/>
        <w:jc w:val="both"/>
        <w:rPr/>
      </w:pPr>
      <w:r>
        <w:rPr/>
        <w:t>Calendar rolls:  These rolls are quotes in which a trader is willing to buy (sell) in one year and sell (buy) in the next.  Given the monthly ’01 curve and the ‘01/’02 roll, the same shaping can be applied to the ’02 curve to achieve a more complete price curve for ’02.</w:t>
      </w:r>
    </w:p>
    <w:p>
      <w:pPr>
        <w:pStyle w:val="Normal"/>
        <w:spacing w:lineRule="auto" w:line="480"/>
        <w:jc w:val="both"/>
        <w:rPr/>
      </w:pPr>
      <w:r>
        <w:rPr/>
      </w:r>
    </w:p>
    <w:p>
      <w:pPr>
        <w:pStyle w:val="Heading1"/>
        <w:spacing w:lineRule="auto" w:line="480"/>
        <w:ind w:hanging="0" w:start="0"/>
        <w:rPr>
          <w:b/>
          <w:bCs/>
          <w:i w:val="false"/>
          <w:i w:val="false"/>
          <w:iCs/>
        </w:rPr>
      </w:pPr>
      <w:r>
        <w:rPr>
          <w:b/>
          <w:bCs/>
          <w:i w:val="false"/>
          <w:iCs/>
        </w:rPr>
        <w:t>Using Long-Term Price Curves</w:t>
      </w:r>
    </w:p>
    <w:p>
      <w:pPr>
        <w:pStyle w:val="Normal"/>
        <w:spacing w:lineRule="auto" w:line="480"/>
        <w:jc w:val="both"/>
        <w:rPr/>
      </w:pPr>
      <w:r>
        <w:rPr/>
        <w:t xml:space="preserve">With the long-term curve determined, the risk manager must validate the prices in the market.  Tim Kramer, in </w:t>
      </w:r>
      <w:r>
        <w:rPr>
          <w:i/>
          <w:iCs/>
        </w:rPr>
        <w:t>Energy Derivatives</w:t>
      </w:r>
      <w:r>
        <w:rPr/>
        <w:t xml:space="preserve">, </w:t>
      </w:r>
      <w:r>
        <w:rPr>
          <w:i/>
          <w:iCs/>
        </w:rPr>
        <w:t>Trading…,</w:t>
      </w:r>
      <w:r>
        <w:rPr/>
        <w:t xml:space="preserve"> explains the steps involved and the importance of market validation of long-term price curves:  </w:t>
      </w:r>
    </w:p>
    <w:p>
      <w:pPr>
        <w:pStyle w:val="Normal"/>
        <w:spacing w:lineRule="auto" w:line="480"/>
        <w:jc w:val="both"/>
        <w:rPr/>
      </w:pPr>
      <w:r>
        <w:rPr/>
      </w:r>
    </w:p>
    <w:p>
      <w:pPr>
        <w:pStyle w:val="Normal"/>
        <w:spacing w:lineRule="auto" w:line="480"/>
        <w:jc w:val="both"/>
        <w:rPr/>
      </w:pPr>
      <w:r>
        <w:rPr/>
        <w:t xml:space="preserve">In a two-way market, the risk manager can validate his marks on his long-term portfolio or value a long-term deal.  Assume he determines the 10-year Palo Verde price curve at $38.50/$39.50.  With these numbers, the asset development team believes they can build a 1,000 MW gas-fired generator that produces power for $33.00.  </w:t>
      </w:r>
    </w:p>
    <w:p>
      <w:pPr>
        <w:pStyle w:val="Normal"/>
        <w:spacing w:lineRule="auto" w:line="480"/>
        <w:jc w:val="both"/>
        <w:rPr/>
      </w:pPr>
      <w:r>
        <w:rPr/>
      </w:r>
    </w:p>
    <w:p>
      <w:pPr>
        <w:pStyle w:val="Normal"/>
        <w:spacing w:lineRule="auto" w:line="480"/>
        <w:jc w:val="both"/>
        <w:rPr/>
      </w:pPr>
      <w:r>
        <w:rPr/>
        <w:t xml:space="preserve">Two situations can occur:  If the curve is correct, or lower than actually prices, then the plant will be profitable.  If the curve is incorrect, the manager will be holding on to 1,000 MW with a value less than expected.  With the $38.50/$39.50 market curve, the manager can go to the bilateral and make a two-way price of $37.50/$40.50 for 50 MW.  If a market participant lifts the $40.50 offer, the curves are low, the manager is short 50 MW at $40.50, and his developers will build a generator to supply the manager with 1,000 MW at a price lower than the $40.50.  </w:t>
      </w:r>
    </w:p>
    <w:p>
      <w:pPr>
        <w:pStyle w:val="Normal"/>
        <w:spacing w:lineRule="auto" w:line="480"/>
        <w:jc w:val="both"/>
        <w:rPr/>
      </w:pPr>
      <w:r>
        <w:rPr/>
      </w:r>
    </w:p>
    <w:p>
      <w:pPr>
        <w:pStyle w:val="Normal"/>
        <w:spacing w:lineRule="auto" w:line="480"/>
        <w:jc w:val="both"/>
        <w:rPr/>
      </w:pPr>
      <w:r>
        <w:rPr/>
        <w:t xml:space="preserve">However, if the manager was wrong about his curve, a market participant will hit the $37.50 bid.  The manager is now long 50 MW at $37.50.  His next move may be to put in the marketplace a price of $34.00/$38.00 for 50 MW.  If a participant lifts this offer, the $37.50/$38.00 curve has also been validated.  Moreover, the manager makes $1.056 million.  How? </w:t>
      </w:r>
    </w:p>
    <w:p>
      <w:pPr>
        <w:pStyle w:val="BlockText"/>
        <w:spacing w:lineRule="auto" w:line="480"/>
        <w:jc w:val="both"/>
        <w:rPr/>
      </w:pPr>
      <w:r>
        <w:rPr/>
        <w:t>($.50 spread x 50 MW x 22 trading days per month x 12 months x 16 on-peak hours per day x 10 years)</w:t>
      </w:r>
    </w:p>
    <w:p>
      <w:pPr>
        <w:pStyle w:val="Normal"/>
        <w:spacing w:lineRule="auto" w:line="480"/>
        <w:jc w:val="both"/>
        <w:rPr/>
      </w:pPr>
      <w:r>
        <w:rPr/>
      </w:r>
    </w:p>
    <w:p>
      <w:pPr>
        <w:pStyle w:val="Normal"/>
        <w:spacing w:lineRule="auto" w:line="480"/>
        <w:jc w:val="both"/>
        <w:rPr/>
      </w:pPr>
      <w:r>
        <w:rPr/>
        <w:t xml:space="preserve">If the $34.00/$38.00 bid is still too high, the $34.00 bid will be hit.  Now the manager is long 100 MW at an average of the two hits, or $35.75.  This length proves that no market exists to support a 1,000 MW generator. Some money was spent to determine this, however, it pales in comparison to the money that would be spent building generation under the assumption that the market would support a curve of $38.50/$39.50 (Kramer, </w:t>
      </w:r>
      <w:r>
        <w:rPr>
          <w:i/>
          <w:iCs/>
        </w:rPr>
        <w:t>Energy Derivatives, Trading…</w:t>
      </w:r>
      <w:r>
        <w:rPr/>
        <w:t>).</w:t>
      </w:r>
    </w:p>
    <w:p>
      <w:pPr>
        <w:pStyle w:val="Normal"/>
        <w:spacing w:lineRule="auto" w:line="480"/>
        <w:jc w:val="both"/>
        <w:rPr/>
      </w:pPr>
      <w:r>
        <w:rPr/>
      </w:r>
    </w:p>
    <w:p>
      <w:pPr>
        <w:pStyle w:val="Heading1"/>
        <w:spacing w:lineRule="auto" w:line="480"/>
        <w:ind w:hanging="0" w:start="0"/>
        <w:rPr>
          <w:b/>
          <w:bCs/>
          <w:i w:val="false"/>
          <w:i w:val="false"/>
          <w:iCs/>
        </w:rPr>
      </w:pPr>
      <w:r>
        <w:rPr>
          <w:b/>
          <w:bCs/>
          <w:i w:val="false"/>
          <w:iCs/>
        </w:rPr>
        <w:t>Dual Variable Options</w:t>
      </w:r>
    </w:p>
    <w:p>
      <w:pPr>
        <w:pStyle w:val="Normal"/>
        <w:spacing w:lineRule="auto" w:line="480"/>
        <w:jc w:val="both"/>
        <w:rPr/>
      </w:pPr>
      <w:r>
        <w:rPr/>
        <w:t>Ralph Eads Vice president of El Paso explains, “We view a power plant or a gas contract as an option: to decide to produce electricity from gas, or not to produce but sell the gas directly, or to hedge a contract to protect against price volatility” (</w:t>
      </w:r>
      <w:r>
        <w:rPr>
          <w:i/>
          <w:iCs/>
        </w:rPr>
        <w:t>Times</w:t>
      </w:r>
      <w:r>
        <w:rPr/>
        <w:t xml:space="preserve">, Jan. 14).  A gas-fired generator is indeed an option, in this case, a dual variable option where the owner has the choice of buying gas, producing energy, and selling it. Just like an option, the owner is subjected to changes in P&amp;L.  With a dual, changes between gas and electricity affect the P&amp;L.  Price movement creates opportunity to make money.  When the spread widens between the price of gas and electricity, the dual variable option has more intrinsic value.  Risk managers trade in and out of the underlying, as illustrated earlier, to create option value.  The dual variable option contains a delta for both power and gas.  The Black-Scholes calculations that yield delta, gamma, and option values require volatilities for both gas and power.  A correlation between the commodities is also a necessary input.  </w:t>
      </w:r>
    </w:p>
    <w:p>
      <w:pPr>
        <w:pStyle w:val="Normal"/>
        <w:spacing w:lineRule="auto" w:line="480"/>
        <w:jc w:val="both"/>
        <w:rPr/>
      </w:pPr>
      <w:r>
        <w:rPr/>
      </w:r>
    </w:p>
    <w:p>
      <w:pPr>
        <w:pStyle w:val="Heading1"/>
        <w:spacing w:lineRule="auto" w:line="480"/>
        <w:ind w:hanging="0" w:start="0"/>
        <w:rPr>
          <w:b/>
          <w:bCs/>
          <w:i w:val="false"/>
          <w:i w:val="false"/>
          <w:iCs/>
        </w:rPr>
      </w:pPr>
      <w:r>
        <w:rPr>
          <w:b/>
          <w:bCs/>
          <w:i w:val="false"/>
          <w:iCs/>
        </w:rPr>
        <w:t>The Energy Market</w:t>
      </w:r>
    </w:p>
    <w:p>
      <w:pPr>
        <w:pStyle w:val="Heading1"/>
        <w:spacing w:lineRule="auto" w:line="480"/>
        <w:ind w:hanging="0" w:start="0"/>
        <w:rPr>
          <w:i w:val="false"/>
          <w:i w:val="false"/>
          <w:iCs/>
        </w:rPr>
      </w:pPr>
      <w:r>
        <w:rPr>
          <w:i w:val="false"/>
          <w:iCs/>
        </w:rPr>
        <w:t xml:space="preserve">In California, two hubs define the market, NP15 in the north and SP15 in the south.  Peak-hours products are called 6X16, from 7 am to 11 pm Monday through Saturday.  The remaining hours are referred to as non-peak hours.  Given these peak/non-peak products, within the peak hours, super-peak conditions occur when the load requirements are higher than the rest of the 16 hours. For an illustration, in the morning hours, homes begin turning on their lights, etc. and at the same time factories begin operations.  This creates a simultaneous demand for energy that is greater than later peak hours when homes are using less energy because its inhabitants are at work in the factories.  Summer and winter have different load profiles.  Air conditioning burns energy and typically is used more when people come home and cool the house after a long day of heat.  The load for peak hours during the summer increases in the evening as well as in the morning.     </w:t>
      </w:r>
    </w:p>
    <w:p>
      <w:pPr>
        <w:pStyle w:val="Heading1"/>
        <w:spacing w:lineRule="auto" w:line="480"/>
        <w:ind w:hanging="0" w:start="0"/>
        <w:rPr>
          <w:b/>
          <w:bCs/>
          <w:i w:val="false"/>
          <w:i w:val="false"/>
          <w:iCs/>
        </w:rPr>
      </w:pPr>
      <w:r>
        <w:rPr>
          <w:b/>
          <w:bCs/>
          <w:i w:val="false"/>
          <w:iCs/>
        </w:rPr>
        <w:t>Valuation of Physical Options</w:t>
      </w:r>
    </w:p>
    <w:p>
      <w:pPr>
        <w:pStyle w:val="Normal"/>
        <w:spacing w:lineRule="auto" w:line="480"/>
        <w:jc w:val="both"/>
        <w:rPr/>
      </w:pPr>
      <w:r>
        <w:rPr/>
        <w:t>As mentioned earlier, a power plant can be thought of as spread option between gas and power markets.  Using the standard option techniques, one can value a “real option”.  However, even though products exist, for example the peak-hours mentioned earlier, improve liquidity in trading power, units that run for fewer hours may be undervalued.  Furthermore, the plant cannot always be exercised when it is in the money and is limited by ramp-up hours.  Start-up costs are also a factor as is the inflexibility of a plant from not being able to reach maximum capacity instantaneously.  Because hourly power is not traded forward, yet hourly power is of utmost importance when minimizing the cost to operate, development of an hourly forward curve is necessary to understand profitability and estimating the embedded spark value of a power plant.  The hourly forward price curve can be developed using forward market prices and historical hourly prices.</w:t>
      </w:r>
    </w:p>
    <w:p>
      <w:pPr>
        <w:pStyle w:val="Heading1"/>
        <w:spacing w:lineRule="auto" w:line="480"/>
        <w:ind w:hanging="0" w:start="0"/>
        <w:rPr>
          <w:b/>
          <w:bCs/>
          <w:i w:val="false"/>
          <w:i w:val="false"/>
          <w:iCs/>
        </w:rPr>
      </w:pPr>
      <w:r>
        <w:rPr>
          <w:b/>
          <w:bCs/>
          <w:i w:val="false"/>
          <w:iCs/>
        </w:rPr>
        <w:t>Ideal Situation for California</w:t>
      </w:r>
    </w:p>
    <w:p>
      <w:pPr>
        <w:pStyle w:val="Normal"/>
        <w:spacing w:lineRule="auto" w:line="480"/>
        <w:jc w:val="both"/>
        <w:rPr/>
      </w:pPr>
      <w:r>
        <w:rPr/>
        <w:t>The utilities could value their positions by using models that factor in long-term prices and costs.  A long-term option model would allow for the input of forward monthly price curves for energy and fuel.  Forward volatility and correlation curves would be inputs into the model as well as a variable operations and maintenance.  A strike price based on costs of fuel and start-ups as a function of achievable energy prices could be escalated at an annual inflation rate.  The model could extend 10 years or more for the life of the option.  Such forward modeling would permit risk managers to understand the associated risks with the plant.  This scenario is “ideal” because many factors would have to exist.  Utilities, assuming their credit ratings were fixed, could enter long-term contracts, use forward markets, and enter option positions.  Furthermore, stringent permitting laws for new plants would have to be eased.  With access to new generation, and the ability to enter long-term contract, the utilities could model their positions on a long-term basis and have a better understanding of their value at risk as well as more control over their positions.</w:t>
      </w:r>
      <w:r>
        <w:br w:type="page"/>
      </w:r>
    </w:p>
    <w:p>
      <w:pPr>
        <w:pStyle w:val="BodyText"/>
        <w:jc w:val="center"/>
        <w:rPr>
          <w:b/>
          <w:bCs/>
          <w:iCs/>
        </w:rPr>
      </w:pPr>
      <w:r>
        <w:rPr>
          <w:b/>
          <w:bCs/>
          <w:iCs/>
        </w:rPr>
        <w:t>Bibliography</w:t>
      </w:r>
    </w:p>
    <w:p>
      <w:pPr>
        <w:pStyle w:val="BodyText"/>
        <w:spacing w:lineRule="auto" w:line="240"/>
        <w:rPr>
          <w:b/>
          <w:bCs/>
          <w:iCs/>
        </w:rPr>
      </w:pPr>
      <w:r>
        <w:rPr>
          <w:b/>
          <w:bCs/>
          <w:iCs/>
        </w:rPr>
      </w:r>
    </w:p>
    <w:p>
      <w:pPr>
        <w:pStyle w:val="BodyText"/>
        <w:spacing w:lineRule="auto" w:line="240"/>
        <w:rPr/>
      </w:pPr>
      <w:r>
        <w:rPr>
          <w:iCs/>
        </w:rPr>
        <w:t xml:space="preserve">Clewlow, Les and Chris Strickland.  </w:t>
      </w:r>
      <w:r>
        <w:rPr>
          <w:iCs/>
          <w:u w:val="single"/>
        </w:rPr>
        <w:t>Energy Derivatives, Pricing and Risk Management</w:t>
      </w:r>
      <w:r>
        <w:rPr>
          <w:iCs/>
        </w:rPr>
        <w:t>.  Lacima Publications, London, England, 2000.</w:t>
      </w:r>
    </w:p>
    <w:p>
      <w:pPr>
        <w:pStyle w:val="BodyText"/>
        <w:spacing w:lineRule="auto" w:line="240"/>
        <w:rPr>
          <w:iCs/>
        </w:rPr>
      </w:pPr>
      <w:r>
        <w:rPr>
          <w:iCs/>
        </w:rPr>
      </w:r>
    </w:p>
    <w:p>
      <w:pPr>
        <w:pStyle w:val="BodyText"/>
        <w:spacing w:lineRule="auto" w:line="240"/>
        <w:rPr>
          <w:iCs/>
        </w:rPr>
      </w:pPr>
      <w:r>
        <w:rPr>
          <w:iCs/>
        </w:rPr>
        <w:t xml:space="preserve">The Economist. “A State of Gloom” Jan. 18, 2001. </w:t>
      </w:r>
    </w:p>
    <w:p>
      <w:pPr>
        <w:pStyle w:val="BodyText"/>
        <w:spacing w:lineRule="auto" w:line="240"/>
        <w:rPr>
          <w:iCs/>
        </w:rPr>
      </w:pPr>
      <w:r>
        <w:rPr>
          <w:iCs/>
        </w:rPr>
      </w:r>
    </w:p>
    <w:p>
      <w:pPr>
        <w:pStyle w:val="BodyText"/>
        <w:spacing w:lineRule="auto" w:line="240"/>
        <w:rPr/>
      </w:pPr>
      <w:r>
        <w:rPr>
          <w:iCs/>
        </w:rPr>
        <w:t xml:space="preserve">Flanigan, James.  “News Analysis,” </w:t>
      </w:r>
      <w:r>
        <w:rPr>
          <w:iCs/>
          <w:u w:val="single"/>
        </w:rPr>
        <w:t>Los Angeles Times</w:t>
      </w:r>
      <w:r>
        <w:rPr>
          <w:iCs/>
        </w:rPr>
        <w:t>, Jan. 14, 2001).</w:t>
      </w:r>
    </w:p>
    <w:p>
      <w:pPr>
        <w:pStyle w:val="BodyText"/>
        <w:spacing w:lineRule="auto" w:line="240"/>
        <w:rPr>
          <w:iCs/>
        </w:rPr>
      </w:pPr>
      <w:r>
        <w:rPr>
          <w:iCs/>
        </w:rPr>
      </w:r>
    </w:p>
    <w:p>
      <w:pPr>
        <w:pStyle w:val="BodyText"/>
        <w:spacing w:lineRule="auto" w:line="240"/>
        <w:rPr/>
      </w:pPr>
      <w:r>
        <w:rPr>
          <w:iCs/>
        </w:rPr>
        <w:t xml:space="preserve">Kramer, Timothy J.  </w:t>
      </w:r>
      <w:r>
        <w:rPr>
          <w:iCs/>
          <w:u w:val="single"/>
        </w:rPr>
        <w:t>Energy Derivatives, Trading, &amp; Risk Management</w:t>
      </w:r>
      <w:r>
        <w:rPr>
          <w:iCs/>
        </w:rPr>
        <w:t>. 2000.</w:t>
      </w:r>
    </w:p>
    <w:p>
      <w:pPr>
        <w:pStyle w:val="BodyText"/>
        <w:spacing w:lineRule="auto" w:line="240"/>
        <w:rPr>
          <w:iCs/>
        </w:rPr>
      </w:pPr>
      <w:r>
        <w:rPr>
          <w:iCs/>
        </w:rPr>
      </w:r>
    </w:p>
    <w:p>
      <w:pPr>
        <w:pStyle w:val="BodyText"/>
        <w:spacing w:lineRule="auto" w:line="240"/>
        <w:rPr/>
      </w:pPr>
      <w:r>
        <w:rPr>
          <w:iCs/>
        </w:rPr>
        <w:t xml:space="preserve">Yardley, Jim.  “Texas Learns in California How not to Deregulate” Jan. 2, 2001. </w:t>
      </w:r>
      <w:r>
        <w:rPr>
          <w:iCs/>
          <w:u w:val="single"/>
        </w:rPr>
        <w:t>New York Times</w:t>
      </w:r>
      <w:r>
        <w:rPr>
          <w:iCs/>
        </w:rPr>
        <w:t>.</w:t>
      </w:r>
    </w:p>
    <w:p>
      <w:pPr>
        <w:pStyle w:val="BodyText"/>
        <w:spacing w:lineRule="auto" w:line="240"/>
        <w:rPr>
          <w:iCs/>
        </w:rPr>
      </w:pPr>
      <w:r>
        <w:rPr>
          <w:iCs/>
        </w:rPr>
      </w:r>
    </w:p>
    <w:p>
      <w:pPr>
        <w:pStyle w:val="BodyText"/>
        <w:spacing w:lineRule="auto" w:line="240"/>
        <w:rPr>
          <w:iCs/>
        </w:rPr>
      </w:pPr>
      <w:r>
        <w:rPr>
          <w:iCs/>
        </w:rPr>
        <w:t>Website, California Energy Commission.</w:t>
      </w:r>
    </w:p>
    <w:p>
      <w:pPr>
        <w:pStyle w:val="BodyText"/>
        <w:spacing w:lineRule="auto" w:line="240"/>
        <w:rPr>
          <w:iCs/>
        </w:rPr>
      </w:pPr>
      <w:r>
        <w:rPr>
          <w:iCs/>
        </w:rPr>
      </w:r>
    </w:p>
    <w:p>
      <w:pPr>
        <w:pStyle w:val="BodyText"/>
        <w:rPr>
          <w:iCs/>
        </w:rPr>
      </w:pPr>
      <w:r>
        <w:rPr>
          <w:iCs/>
        </w:rPr>
      </w:r>
    </w:p>
    <w:sectPr>
      <w:headerReference w:type="default" r:id="rId7"/>
      <w:footerReference w:type="default" r:id="rId8"/>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Geneva">
    <w:altName w:val="Arial"/>
    <w:charset w:val="00" w:characterSet="windows-1252"/>
    <w:family w:val="swiss"/>
    <w:pitch w:val="variable"/>
  </w:font>
  <w:font w:name="Harlow Solid Italic">
    <w:charset w:val="00" w:characterSet="windows-1252"/>
    <w:family w:val="decorative"/>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r>
      <w:rPr>
        <w:rStyle w:val="PageNumber"/>
      </w:rPr>
      <w:t xml:space="preserve"> </w:t>
    </w:r>
    <w:r>
      <w:rPr>
        <w:rStyle w:val="PageNumber"/>
      </w:rPr>
      <w:t xml:space="preserve">of </w:t>
    </w:r>
    <w:r>
      <w:rPr>
        <w:rStyle w:val="PageNumber"/>
      </w:rPr>
      <w:fldChar w:fldCharType="begin"/>
    </w:r>
    <w:r>
      <w:rPr>
        <w:rStyle w:val="PageNumber"/>
      </w:rPr>
      <w:instrText xml:space="preserve"> NUMPAGES \* ARABIC </w:instrText>
    </w:r>
    <w:r>
      <w:rPr>
        <w:rStyle w:val="PageNumber"/>
      </w:rPr>
      <w:fldChar w:fldCharType="separate"/>
    </w:r>
    <w:r>
      <w:rPr>
        <w:rStyle w:val="PageNumber"/>
      </w:rPr>
      <w:t>18</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Hamel, Howard, Nelson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0"/>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Times New Roman" w:hAnsi="Times;Times New Roman" w:eastAsia="Times;Times New Roman" w:cs="Time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i/>
    </w:rPr>
  </w:style>
  <w:style w:type="paragraph" w:styleId="Heading2">
    <w:name w:val="heading 2"/>
    <w:basedOn w:val="Normal"/>
    <w:next w:val="Normal"/>
    <w:qFormat/>
    <w:pPr>
      <w:keepNext w:val="true"/>
      <w:numPr>
        <w:ilvl w:val="1"/>
        <w:numId w:val="1"/>
      </w:numPr>
      <w:spacing w:lineRule="auto" w:line="480"/>
      <w:outlineLvl w:val="1"/>
    </w:pPr>
    <w:rPr>
      <w:rFonts w:ascii="Times New Roman" w:hAnsi="Times New Roman" w:eastAsia="Times New Roman" w:cs="Times New Roman"/>
      <w:i/>
      <w:iCs/>
      <w:szCs w:val="24"/>
    </w:rPr>
  </w:style>
  <w:style w:type="paragraph" w:styleId="Heading3">
    <w:name w:val="heading 3"/>
    <w:basedOn w:val="Normal"/>
    <w:next w:val="Normal"/>
    <w:qFormat/>
    <w:pPr>
      <w:keepNext w:val="true"/>
      <w:numPr>
        <w:ilvl w:val="2"/>
        <w:numId w:val="1"/>
      </w:numPr>
      <w:outlineLvl w:val="2"/>
    </w:pPr>
    <w:rPr>
      <w:b/>
      <w:bCs/>
      <w:sz w:val="20"/>
    </w:rPr>
  </w:style>
  <w:style w:type="paragraph" w:styleId="Heading4">
    <w:name w:val="heading 4"/>
    <w:basedOn w:val="Normal"/>
    <w:next w:val="Normal"/>
    <w:qFormat/>
    <w:pPr>
      <w:keepNext w:val="true"/>
      <w:numPr>
        <w:ilvl w:val="3"/>
        <w:numId w:val="1"/>
      </w:numPr>
      <w:jc w:val="center"/>
      <w:outlineLvl w:val="3"/>
    </w:pPr>
    <w:rPr>
      <w:b/>
      <w:bCs/>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Geneva;Arial" w:hAnsi="Geneva;Arial" w:cs="Geneva;Arial"/>
    </w:rPr>
  </w:style>
  <w:style w:type="paragraph" w:styleId="BlockText">
    <w:name w:val="Block Text"/>
    <w:basedOn w:val="Normal"/>
    <w:qFormat/>
    <w:pPr>
      <w:ind w:hanging="0" w:start="1440" w:end="1440"/>
    </w:pPr>
    <w:rPr>
      <w:rFonts w:ascii="Times New Roman" w:hAnsi="Times New Roman" w:eastAsia="Times New Roman" w:cs="Times New Roman"/>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image" Target="media/image2.wmf"/><Relationship Id="rId5" Type="http://schemas.openxmlformats.org/officeDocument/2006/relationships/package" Target="embeddings/oleObject2.xlsx"/><Relationship Id="rId6" Type="http://schemas.openxmlformats.org/officeDocument/2006/relationships/image" Target="media/image3.wmf"/><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2001-05-02T13:43:00Z</dcterms:created>
  <dc:creator>Brian Muecke</dc:creator>
  <dc:description/>
  <dc:language>en-CA</dc:language>
  <cp:lastModifiedBy>Stu Hamel</cp:lastModifiedBy>
  <cp:lastPrinted>2001-04-30T02:20:00Z</cp:lastPrinted>
  <dcterms:modified xsi:type="dcterms:W3CDTF">2001-05-02T13:43:00Z</dcterms:modified>
  <cp:revision>2</cp:revision>
  <dc:subject/>
  <dc:title>The state of California is located within the Western System Coordinating Council (WSCC) region</dc:title>
</cp:coreProperties>
</file>