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4"/>
        </w:rPr>
      </w:pPr>
      <w:r>
        <w:rPr>
          <w:color w:val="000000"/>
          <w:sz w:val="24"/>
        </w:rPr>
        <w:t>September 17, 2001</w:t>
        <w:tab/>
        <w:tab/>
        <w:tab/>
        <w:tab/>
        <w:tab/>
        <w:tab/>
      </w:r>
    </w:p>
    <w:p>
      <w:pPr>
        <w:pStyle w:val="Normal"/>
        <w:tabs>
          <w:tab w:val="clear" w:pos="720"/>
          <w:tab w:val="left" w:pos="5310" w:leader="none"/>
        </w:tabs>
        <w:rPr>
          <w:color w:val="000000"/>
          <w:sz w:val="24"/>
        </w:rPr>
      </w:pPr>
      <w:r>
        <w:rPr>
          <w:color w:val="000000"/>
          <w:sz w:val="24"/>
        </w:rPr>
        <w:tab/>
      </w:r>
    </w:p>
    <w:p>
      <w:pPr>
        <w:pStyle w:val="Normal"/>
        <w:rPr>
          <w:color w:val="000000"/>
          <w:sz w:val="24"/>
        </w:rPr>
      </w:pPr>
      <w:r>
        <w:rPr>
          <w:color w:val="000000"/>
          <w:sz w:val="24"/>
        </w:rPr>
      </w:r>
    </w:p>
    <w:p>
      <w:pPr>
        <w:pStyle w:val="Normal"/>
        <w:rPr>
          <w:color w:val="000000"/>
          <w:sz w:val="24"/>
        </w:rPr>
      </w:pPr>
      <w:r>
        <w:rPr>
          <w:color w:val="000000"/>
          <w:sz w:val="24"/>
        </w:rPr>
      </w:r>
    </w:p>
    <w:p>
      <w:pPr>
        <w:pStyle w:val="Normal"/>
        <w:rPr>
          <w:color w:val="000000"/>
          <w:sz w:val="24"/>
        </w:rPr>
      </w:pPr>
      <w:r>
        <w:rPr>
          <w:color w:val="000000"/>
          <w:sz w:val="24"/>
        </w:rPr>
        <w:t>David P. Boergers</w:t>
      </w:r>
    </w:p>
    <w:p>
      <w:pPr>
        <w:pStyle w:val="Normal"/>
        <w:rPr>
          <w:color w:val="000000"/>
          <w:sz w:val="24"/>
        </w:rPr>
      </w:pPr>
      <w:r>
        <w:rPr>
          <w:color w:val="000000"/>
          <w:sz w:val="24"/>
        </w:rPr>
        <w:t>Office of the Secretary</w:t>
      </w:r>
    </w:p>
    <w:p>
      <w:pPr>
        <w:pStyle w:val="Normal"/>
        <w:rPr>
          <w:color w:val="000000"/>
          <w:sz w:val="24"/>
        </w:rPr>
      </w:pPr>
      <w:r>
        <w:rPr>
          <w:color w:val="000000"/>
          <w:sz w:val="24"/>
        </w:rPr>
        <w:t>Docket Room</w:t>
      </w:r>
    </w:p>
    <w:p>
      <w:pPr>
        <w:pStyle w:val="Normal"/>
        <w:rPr>
          <w:color w:val="000000"/>
          <w:sz w:val="24"/>
        </w:rPr>
      </w:pPr>
      <w:r>
        <w:rPr>
          <w:color w:val="000000"/>
          <w:sz w:val="24"/>
        </w:rPr>
        <w:t>Federal Energy Regulatory Commission</w:t>
      </w:r>
    </w:p>
    <w:p>
      <w:pPr>
        <w:pStyle w:val="Normal"/>
        <w:rPr>
          <w:color w:val="000000"/>
          <w:sz w:val="24"/>
        </w:rPr>
      </w:pPr>
      <w:r>
        <w:rPr>
          <w:color w:val="000000"/>
          <w:sz w:val="24"/>
        </w:rPr>
        <w:t>888 First Street, N.E., Room 1A, East</w:t>
      </w:r>
    </w:p>
    <w:p>
      <w:pPr>
        <w:pStyle w:val="Normal"/>
        <w:rPr>
          <w:color w:val="000000"/>
          <w:sz w:val="24"/>
        </w:rPr>
      </w:pPr>
      <w:r>
        <w:rPr>
          <w:color w:val="000000"/>
          <w:sz w:val="24"/>
        </w:rPr>
        <w:t>Washington, D.C.  20002</w:t>
      </w:r>
    </w:p>
    <w:p>
      <w:pPr>
        <w:pStyle w:val="Footer"/>
        <w:tabs>
          <w:tab w:val="clear" w:pos="4320"/>
          <w:tab w:val="clear" w:pos="8640"/>
        </w:tabs>
        <w:rPr>
          <w:color w:val="000000"/>
          <w:sz w:val="24"/>
        </w:rPr>
      </w:pPr>
      <w:r>
        <w:rPr>
          <w:color w:val="000000"/>
          <w:sz w:val="24"/>
        </w:rPr>
      </w:r>
    </w:p>
    <w:p>
      <w:pPr>
        <w:pStyle w:val="Normal"/>
        <w:rPr>
          <w:color w:val="000000"/>
          <w:sz w:val="24"/>
        </w:rPr>
      </w:pPr>
      <w:r>
        <w:rPr>
          <w:color w:val="000000"/>
          <w:sz w:val="24"/>
        </w:rPr>
      </w:r>
    </w:p>
    <w:p>
      <w:pPr>
        <w:pStyle w:val="Normal"/>
        <w:rPr/>
      </w:pPr>
      <w:r>
        <w:rPr>
          <w:b/>
          <w:bCs/>
          <w:color w:val="000000"/>
          <w:sz w:val="24"/>
        </w:rPr>
        <w:t>Re:</w:t>
      </w:r>
      <w:r>
        <w:rPr>
          <w:b/>
          <w:bCs/>
        </w:rPr>
        <w:tab/>
      </w:r>
      <w:r>
        <w:rPr>
          <w:b/>
          <w:bCs/>
          <w:sz w:val="24"/>
          <w:u w:val="single"/>
        </w:rPr>
        <w:t>PacifiCorp Power Marketing, Inc.</w:t>
      </w:r>
      <w:r>
        <w:rPr>
          <w:b/>
          <w:bCs/>
          <w:color w:val="000000"/>
          <w:sz w:val="24"/>
        </w:rPr>
        <w:t>, Docket No. ER01-2685-000</w:t>
      </w:r>
    </w:p>
    <w:p>
      <w:pPr>
        <w:pStyle w:val="Normal"/>
        <w:ind w:hanging="432" w:start="432" w:end="0"/>
        <w:rPr>
          <w:b/>
          <w:bCs/>
          <w:color w:val="000000"/>
          <w:sz w:val="24"/>
        </w:rPr>
      </w:pPr>
      <w:r>
        <w:rPr>
          <w:b/>
          <w:bCs/>
          <w:color w:val="000000"/>
          <w:sz w:val="24"/>
        </w:rPr>
      </w:r>
    </w:p>
    <w:p>
      <w:pPr>
        <w:pStyle w:val="Normal"/>
        <w:rPr>
          <w:color w:val="000000"/>
          <w:sz w:val="24"/>
        </w:rPr>
      </w:pPr>
      <w:r>
        <w:rPr>
          <w:color w:val="000000"/>
          <w:sz w:val="24"/>
        </w:rPr>
        <w:t>Dear Mr. Boergers:</w:t>
      </w:r>
    </w:p>
    <w:p>
      <w:pPr>
        <w:pStyle w:val="Normal"/>
        <w:rPr>
          <w:color w:val="000000"/>
          <w:sz w:val="24"/>
        </w:rPr>
      </w:pPr>
      <w:r>
        <w:rPr>
          <w:color w:val="000000"/>
          <w:sz w:val="24"/>
        </w:rPr>
        <w:tab/>
        <w:tab/>
        <w:tab/>
        <w:tab/>
        <w:tab/>
        <w:tab/>
      </w:r>
    </w:p>
    <w:p>
      <w:pPr>
        <w:pStyle w:val="Normal"/>
        <w:rPr/>
      </w:pPr>
      <w:r>
        <w:rPr>
          <w:color w:val="000000"/>
          <w:sz w:val="24"/>
        </w:rPr>
        <w:t xml:space="preserve">Enclosed for filing in the above-docketed case, please find an electronic filing of a document entitled </w:t>
      </w:r>
      <w:r>
        <w:rPr>
          <w:b/>
          <w:color w:val="000000"/>
          <w:sz w:val="24"/>
        </w:rPr>
        <w:t>“</w:t>
      </w:r>
      <w:r>
        <w:rPr>
          <w:b/>
          <w:sz w:val="24"/>
        </w:rPr>
        <w:t>ANSWER OF THE PUBLIC UTILITIES COMMISSION OF THE STATE OF CALIFORNIA OPPOSING PURPORTED NOTICE OF WITHDRAWAL</w:t>
      </w:r>
      <w:r>
        <w:rPr>
          <w:b/>
          <w:color w:val="000000"/>
          <w:sz w:val="24"/>
        </w:rPr>
        <w:t>.”</w:t>
      </w:r>
    </w:p>
    <w:p>
      <w:pPr>
        <w:pStyle w:val="Normal"/>
        <w:rPr>
          <w:b/>
          <w:color w:val="000000"/>
          <w:sz w:val="24"/>
        </w:rPr>
      </w:pPr>
      <w:r>
        <w:rPr>
          <w:b/>
          <w:color w:val="000000"/>
          <w:sz w:val="24"/>
        </w:rPr>
      </w:r>
    </w:p>
    <w:p>
      <w:pPr>
        <w:pStyle w:val="Normal"/>
        <w:rPr>
          <w:color w:val="000000"/>
          <w:sz w:val="24"/>
        </w:rPr>
      </w:pPr>
      <w:r>
        <w:rPr>
          <w:color w:val="000000"/>
          <w:sz w:val="24"/>
        </w:rPr>
      </w:r>
    </w:p>
    <w:p>
      <w:pPr>
        <w:pStyle w:val="Normal"/>
        <w:rPr>
          <w:color w:val="000000"/>
          <w:sz w:val="24"/>
        </w:rPr>
      </w:pPr>
      <w:r>
        <w:rPr>
          <w:color w:val="000000"/>
          <w:sz w:val="24"/>
        </w:rPr>
        <w:t>Thank you for your cooperation in this matter.</w:t>
      </w:r>
    </w:p>
    <w:p>
      <w:pPr>
        <w:pStyle w:val="Normal"/>
        <w:rPr>
          <w:color w:val="000000"/>
          <w:sz w:val="24"/>
        </w:rPr>
      </w:pPr>
      <w:r>
        <w:rPr>
          <w:color w:val="000000"/>
          <w:sz w:val="24"/>
        </w:rPr>
      </w:r>
    </w:p>
    <w:p>
      <w:pPr>
        <w:pStyle w:val="Normal"/>
        <w:rPr>
          <w:color w:val="000000"/>
          <w:sz w:val="24"/>
        </w:rPr>
      </w:pPr>
      <w:r>
        <w:rPr>
          <w:color w:val="000000"/>
          <w:sz w:val="24"/>
        </w:rPr>
        <w:t>Sincerely,</w:t>
      </w:r>
    </w:p>
    <w:p>
      <w:pPr>
        <w:pStyle w:val="Normal"/>
        <w:rPr>
          <w:color w:val="000000"/>
          <w:sz w:val="24"/>
        </w:rPr>
      </w:pPr>
      <w:r>
        <w:rPr>
          <w:color w:val="000000"/>
          <w:sz w:val="24"/>
        </w:rPr>
      </w:r>
    </w:p>
    <w:p>
      <w:pPr>
        <w:pStyle w:val="Normal"/>
        <w:rPr>
          <w:color w:val="000000"/>
          <w:sz w:val="24"/>
        </w:rPr>
      </w:pPr>
      <w:r>
        <w:rPr>
          <w:color w:val="000000"/>
          <w:sz w:val="24"/>
        </w:rPr>
        <w:t>/s/  Sean Gallagher</w:t>
      </w:r>
    </w:p>
    <w:p>
      <w:pPr>
        <w:pStyle w:val="Normal"/>
        <w:rPr>
          <w:color w:val="000000"/>
          <w:sz w:val="24"/>
        </w:rPr>
      </w:pPr>
      <w:r>
        <w:rPr>
          <w:color w:val="000000"/>
          <w:sz w:val="24"/>
        </w:rPr>
      </w:r>
    </w:p>
    <w:p>
      <w:pPr>
        <w:pStyle w:val="Normal"/>
        <w:rPr>
          <w:color w:val="000000"/>
          <w:sz w:val="24"/>
        </w:rPr>
      </w:pPr>
      <w:r>
        <w:rPr>
          <w:color w:val="000000"/>
          <w:sz w:val="24"/>
        </w:rPr>
        <w:t>Sean Gallagher</w:t>
      </w:r>
    </w:p>
    <w:p>
      <w:pPr>
        <w:pStyle w:val="Normal"/>
        <w:rPr>
          <w:color w:val="000000"/>
          <w:sz w:val="24"/>
        </w:rPr>
      </w:pPr>
      <w:r>
        <w:rPr>
          <w:color w:val="000000"/>
          <w:sz w:val="24"/>
        </w:rPr>
        <w:t>Staff Counsel</w:t>
      </w:r>
    </w:p>
    <w:p>
      <w:pPr>
        <w:pStyle w:val="Normal"/>
        <w:rPr>
          <w:color w:val="000000"/>
          <w:sz w:val="24"/>
        </w:rPr>
      </w:pPr>
      <w:r>
        <w:rPr>
          <w:color w:val="000000"/>
          <w:sz w:val="24"/>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color w:val="000000"/>
          <w:sz w:val="24"/>
        </w:rPr>
      </w:pPr>
      <w:r>
        <w:rPr>
          <w:color w:val="000000"/>
          <w:sz w:val="24"/>
        </w:rPr>
        <w:t>SHG:sam</w:t>
      </w:r>
    </w:p>
    <w:p>
      <w:pPr>
        <w:pStyle w:val="Normal"/>
        <w:ind w:start="720" w:end="0"/>
        <w:jc w:val="center"/>
        <w:rPr>
          <w:sz w:val="26"/>
        </w:rPr>
      </w:pPr>
      <w:r>
        <w:rPr>
          <w:sz w:val="26"/>
        </w:rPr>
        <w:t>UNITED STATES OF AMERICA</w:t>
      </w:r>
    </w:p>
    <w:p>
      <w:pPr>
        <w:pStyle w:val="Normal"/>
        <w:jc w:val="center"/>
        <w:rPr>
          <w:smallCaps/>
          <w:sz w:val="26"/>
        </w:rPr>
      </w:pPr>
      <w:r>
        <w:rPr>
          <w:smallCaps/>
          <w:sz w:val="26"/>
        </w:rPr>
        <w:t xml:space="preserve">BEFORE THE </w:t>
      </w:r>
    </w:p>
    <w:p>
      <w:pPr>
        <w:pStyle w:val="Normal"/>
        <w:jc w:val="center"/>
        <w:rPr>
          <w:smallCaps/>
        </w:rPr>
      </w:pPr>
      <w:r>
        <w:rPr>
          <w:smallCaps/>
          <w:sz w:val="26"/>
        </w:rPr>
        <w:t>FEDERAL ENERGY REGULATORY COMMISSION</w:t>
      </w:r>
    </w:p>
    <w:p>
      <w:pPr>
        <w:pStyle w:val="Normal"/>
        <w:jc w:val="center"/>
        <w:rPr>
          <w:smallCaps/>
        </w:rPr>
      </w:pPr>
      <w:r>
        <w:rPr>
          <w:smallCaps/>
        </w:rPr>
      </w:r>
    </w:p>
    <w:p>
      <w:pPr>
        <w:pStyle w:val="Normal"/>
        <w:jc w:val="center"/>
        <w:rPr>
          <w:smallCaps/>
        </w:rPr>
      </w:pPr>
      <w:r>
        <w:rPr>
          <w:smallCaps/>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6" w:space="0" w:color="000000"/>
              <w:end w:val="single" w:sz="6" w:space="0" w:color="000000"/>
            </w:tcBorders>
          </w:tcPr>
          <w:p>
            <w:pPr>
              <w:pStyle w:val="Caption"/>
              <w:rPr>
                <w:sz w:val="26"/>
              </w:rPr>
            </w:pPr>
            <w:r>
              <w:rPr>
                <w:sz w:val="26"/>
              </w:rPr>
              <w:t>PacifiCorp Power Marketing, Inc</w:t>
            </w:r>
          </w:p>
        </w:tc>
        <w:tc>
          <w:tcPr>
            <w:tcW w:w="4788" w:type="dxa"/>
            <w:tcBorders/>
          </w:tcPr>
          <w:p>
            <w:pPr>
              <w:pStyle w:val="Caption"/>
              <w:rPr>
                <w:sz w:val="26"/>
              </w:rPr>
            </w:pPr>
            <w:r>
              <w:rPr>
                <w:sz w:val="26"/>
              </w:rPr>
              <w:t>Docket No. ER01-2685-000</w:t>
            </w:r>
          </w:p>
          <w:p>
            <w:pPr>
              <w:pStyle w:val="Caption"/>
              <w:rPr>
                <w:sz w:val="26"/>
              </w:rPr>
            </w:pPr>
            <w:r>
              <w:rPr>
                <w:sz w:val="26"/>
              </w:rPr>
            </w:r>
          </w:p>
          <w:p>
            <w:pPr>
              <w:pStyle w:val="Caption"/>
              <w:rPr/>
            </w:pPr>
            <w:r>
              <w:rPr/>
              <w:t xml:space="preserve"> </w:t>
            </w:r>
          </w:p>
        </w:tc>
      </w:tr>
    </w:tbl>
    <w:p>
      <w:pPr>
        <w:pStyle w:val="Normal"/>
        <w:rPr>
          <w:sz w:val="28"/>
        </w:rPr>
      </w:pPr>
      <w:r>
        <w:rPr>
          <w:sz w:val="28"/>
        </w:rPr>
      </w:r>
    </w:p>
    <w:p>
      <w:pPr>
        <w:pStyle w:val="Footer"/>
        <w:tabs>
          <w:tab w:val="clear" w:pos="4320"/>
          <w:tab w:val="clear" w:pos="8640"/>
        </w:tabs>
        <w:rPr>
          <w:sz w:val="28"/>
        </w:rPr>
      </w:pPr>
      <w:r>
        <w:rPr>
          <w:sz w:val="28"/>
        </w:rPr>
      </w:r>
    </w:p>
    <w:p>
      <w:pPr>
        <w:pStyle w:val="Brief"/>
        <w:rPr>
          <w:b/>
          <w:sz w:val="26"/>
        </w:rPr>
      </w:pPr>
      <w:r>
        <w:rPr>
          <w:b/>
          <w:sz w:val="24"/>
        </w:rPr>
        <w:t>ANSWER OF THE PUBLIC UTILITIES COMMISSION OF THE STATE OF CALIFORNIA OPPOSING PURPORTED NOTICE OF WITHDRAWAL</w:t>
      </w:r>
    </w:p>
    <w:p>
      <w:pPr>
        <w:pStyle w:val="Brief"/>
        <w:rPr>
          <w:b/>
          <w:sz w:val="26"/>
        </w:rPr>
      </w:pPr>
      <w:r>
        <w:rPr>
          <w:b/>
          <w:sz w:val="26"/>
        </w:rPr>
      </w:r>
    </w:p>
    <w:p>
      <w:pPr>
        <w:pStyle w:val="BodyText"/>
        <w:rPr/>
      </w:pPr>
      <w:r>
        <w:rPr/>
        <w:t xml:space="preserve">Pursuant to Rule 213 of the Rules of Practice and Procedure (“Rules”) of the Federal Energy Regulatory Commission (“FERC”), the Public Utilities Commission of the State of California (“CPUC”) hereby submits its answer opposing the purported Notice of Withdrawal filed by PacifiCorp Power Marketing, Inc. ( “PPM”).  </w:t>
      </w:r>
    </w:p>
    <w:p>
      <w:pPr>
        <w:pStyle w:val="BodyText"/>
        <w:rPr/>
      </w:pPr>
      <w:r>
        <w:rPr/>
        <w:t>PPM filed a Ten-Year Power Purchase Agreement between PPM and the California Department of Water Resources (“CDWR”) on July 26, 2001 (“the PPA”). The filing was expressly made as a rate schedule “[p]ursuant to Part 35 of [FERC’s] regulations.”  PPM July 26 Transmittal Letter, at 1.  The CPUC protested the filing and requested that FERC set the filing for a § 205 hearing.  PPM responded with its purported “Notice of Withdrawal,” asserting that it need not have made the filing in the first instance, and ought to be permitted to withdraw it.</w:t>
      </w:r>
      <w:r>
        <w:rPr>
          <w:rStyle w:val="FootnoteCharacters"/>
          <w:rStyle w:val="FootnoteReference"/>
        </w:rPr>
        <w:footnoteReference w:id="2"/>
      </w:r>
    </w:p>
    <w:p>
      <w:pPr>
        <w:pStyle w:val="BodyText"/>
        <w:rPr/>
      </w:pPr>
      <w:r>
        <w:rPr/>
        <w:t xml:space="preserve">Although PPM characterizes its filing as a “Notice of Withdrawal,” FERC’s regulations do not provide for the withdrawal of a rate schedule on file.  </w:t>
      </w:r>
      <w:r>
        <w:rPr>
          <w:u w:val="single"/>
        </w:rPr>
        <w:t>See</w:t>
      </w:r>
      <w:r>
        <w:rPr/>
        <w:t xml:space="preserve"> </w:t>
      </w:r>
      <w:r>
        <w:rPr>
          <w:u w:val="single"/>
        </w:rPr>
        <w:t>Canal Electric Company</w:t>
      </w:r>
      <w:r>
        <w:rPr/>
        <w:t xml:space="preserve">, 29 FERC P61,330 (1984), in which an applicant sought dismissal of its rate filing without prejudice under Rule 216 of the Commission's Rules of Practice and Procedure.  Since there was no </w:t>
      </w:r>
      <w:r>
        <w:br w:type="page"/>
      </w:r>
    </w:p>
    <w:p>
      <w:pPr>
        <w:pStyle w:val="BodyText"/>
        <w:ind w:hanging="0" w:end="0"/>
        <w:rPr/>
      </w:pPr>
      <w:r>
        <w:rPr/>
        <w:t xml:space="preserve">opposition, the presiding judge found that the withdrawal became effective after 15 days from the date of filing under Rule 216.  The Commission determined that the judge’s reading of Rule 216 was erroneous.  On review, the Commission concluded that Rule 216 applies only to the withdrawal of pleadings, and has no application to the withdrawal of a rate filing.  The Commission determined that the proper procedure for the termination or cancellation of a filed rate schedule or tariff is set forth in section § 35.15 of the Commission's regulations.  </w:t>
      </w:r>
      <w:r>
        <w:rPr>
          <w:u w:val="single"/>
        </w:rPr>
        <w:t>Accord</w:t>
      </w:r>
      <w:r>
        <w:rPr/>
        <w:t xml:space="preserve">, </w:t>
      </w:r>
      <w:r>
        <w:rPr>
          <w:u w:val="single"/>
        </w:rPr>
        <w:t>Palisades Generating Company</w:t>
      </w:r>
      <w:r>
        <w:rPr/>
        <w:t xml:space="preserve">, 62 FERC ¶ 61,187 at 62,222 and n.5 (1993); </w:t>
      </w:r>
      <w:r>
        <w:rPr>
          <w:u w:val="single"/>
        </w:rPr>
        <w:t>New England Power Pool</w:t>
      </w:r>
      <w:r>
        <w:rPr/>
        <w:t>, 70 FERC ¶ 61,155 at 61,462, 61,465-66 (1995).  As PPM filed the PPA as a rate schedule pursuant to § 35, it may not unilaterally withdraw the filing of the PPA.</w:t>
      </w:r>
    </w:p>
    <w:p>
      <w:pPr>
        <w:pStyle w:val="BodyText"/>
        <w:rPr/>
      </w:pPr>
      <w:r>
        <w:rPr/>
        <w:t xml:space="preserve">PPM’s assertion that it may withdraw the filing because it was not required to file the PPA in the first instance is misplaced.  In </w:t>
      </w:r>
      <w:r>
        <w:rPr>
          <w:u w:val="single"/>
        </w:rPr>
        <w:t>Southern Company Services, Inc.</w:t>
      </w:r>
      <w:r>
        <w:rPr/>
        <w:t xml:space="preserve">, 87 FERC ¶ 61,214 (1999) announced that it was: </w:t>
      </w:r>
    </w:p>
    <w:p>
      <w:pPr>
        <w:pStyle w:val="BlockText"/>
        <w:rPr/>
      </w:pPr>
      <w:r>
        <w:rPr/>
        <w:t>revising the reporting requirements for long-term contracts applicable to power marketers to be consistent with the reporting requirements applicable to traditional public utilities with market-based rates.  Specifically, with respect to any long-term transaction agreed to by a power marketer after 30 days from the date of issuance of a final order in this proceeding, the power marketer must file a service agreement with the Commission within 30 days after service commences, rather than merely reporting transactions thereunder in its quarterly transaction summaries.</w:t>
      </w:r>
    </w:p>
    <w:p>
      <w:pPr>
        <w:pStyle w:val="BodyText"/>
        <w:ind w:hanging="0" w:end="0"/>
        <w:rPr/>
      </w:pPr>
      <w:r>
        <w:rPr>
          <w:u w:val="single"/>
        </w:rPr>
        <w:t>Id</w:t>
      </w:r>
      <w:r>
        <w:rPr/>
        <w:t xml:space="preserve">., slip op. at 16.  As FERC observed in </w:t>
      </w:r>
      <w:r>
        <w:rPr>
          <w:u w:val="single"/>
        </w:rPr>
        <w:t>Southern Company Services</w:t>
      </w:r>
      <w:r>
        <w:rPr/>
        <w:t xml:space="preserve">, § 205 of the FPA requires public utility sellers such as PPM to file rate schedules and contracts.  </w:t>
      </w:r>
      <w:r>
        <w:rPr>
          <w:u w:val="single"/>
        </w:rPr>
        <w:t>Id</w:t>
      </w:r>
      <w:r>
        <w:rPr/>
        <w:t xml:space="preserve">., at 17 n. 7.  This requirement is further embodied in § 35.1(a) of FERC’s regulations.  However, in the years before the recent proliferation of power marketers, FERC had habitually granted waivers, in individual dockets, of the filing requirement for long-term (over one year in length) contracts entered into by power marketers.  Traditional public utilities, on the other hand, have always been required to file such contracts.  In announcing its policy change in </w:t>
      </w:r>
      <w:r>
        <w:rPr>
          <w:u w:val="single"/>
        </w:rPr>
        <w:t>Southern Company Services</w:t>
      </w:r>
      <w:r>
        <w:rPr/>
        <w:t xml:space="preserve">, FERC concluded that it was inappropriate to enable power marketers to operate under relaxed standards not applicable to traditional public utilities.  </w:t>
      </w:r>
      <w:r>
        <w:rPr>
          <w:u w:val="single"/>
        </w:rPr>
        <w:t>Id</w:t>
      </w:r>
      <w:r>
        <w:rPr/>
        <w:t>., at 18.</w:t>
      </w:r>
    </w:p>
    <w:p>
      <w:pPr>
        <w:pStyle w:val="BodyText"/>
        <w:rPr/>
      </w:pPr>
      <w:r>
        <w:rPr/>
        <w:t xml:space="preserve">PPM erroneously contends that it was a beneficiary of FERC’s now outdated policy.  PPM received market-based rate authority in 1996.  </w:t>
      </w:r>
      <w:r>
        <w:rPr>
          <w:u w:val="single"/>
        </w:rPr>
        <w:t>Pacificorp Power Marketing, Inc.</w:t>
      </w:r>
      <w:r>
        <w:rPr/>
        <w:t xml:space="preserve">, 74 FERC ¶ 61,139 (1996) (“the 1996 order”).  PPM asserts that in this order, FERC “waived the requirement that PPM file its long-term service contracts and instead required it to file quarterly reports of power transactions.  </w:t>
      </w:r>
      <w:r>
        <w:rPr>
          <w:u w:val="single"/>
        </w:rPr>
        <w:t>See</w:t>
      </w:r>
      <w:r>
        <w:rPr/>
        <w:t xml:space="preserve"> Notice of Withdrawal, ¶ 4.  However, although the 1996 order did require PPM to file quarterly transaction reports, the 1996 order did </w:t>
      </w:r>
      <w:r>
        <w:rPr>
          <w:u w:val="single"/>
        </w:rPr>
        <w:t>not</w:t>
      </w:r>
      <w:r>
        <w:rPr/>
        <w:t xml:space="preserve"> exempt PPM from the filing requirements of § 35.1.  Rather, on its face the order merely grants PPM’s request for “exemption from the requirements of Subparts B and C of Part 35 (except as to sections 35.12(a), 35.13(b), 35.15. and 35.16) of the Commission’s regulations.”  74 FERC, slip op. at 4 and at 8, Ordering Paragraph K.</w:t>
      </w:r>
    </w:p>
    <w:p>
      <w:pPr>
        <w:pStyle w:val="BodyText"/>
        <w:rPr/>
      </w:pPr>
      <w:r>
        <w:rPr/>
        <w:t xml:space="preserve">FERC did </w:t>
      </w:r>
      <w:r>
        <w:rPr>
          <w:u w:val="single"/>
        </w:rPr>
        <w:t>not</w:t>
      </w:r>
      <w:r>
        <w:rPr/>
        <w:t xml:space="preserve"> grant PPM waivers of Subpart A of Part 35, including § 35.1(a) (“obligation to file rate schedules”) or § 35.12(a) of Subpart B (“filing of initial rate schedules”) in the 1996 order.  Section 35.1(a) expressly requires the filing of contracts.  The fact that the order in </w:t>
      </w:r>
      <w:r>
        <w:rPr>
          <w:u w:val="single"/>
        </w:rPr>
        <w:t>Southern Company Services</w:t>
      </w:r>
      <w:r>
        <w:rPr/>
        <w:t xml:space="preserve"> is not final is irrelevant to PPM.  Since PPM had not obtained a waiver of the § 35.1(a) filing requirement, PPM was required to file the PPA.</w:t>
      </w:r>
    </w:p>
    <w:p>
      <w:pPr>
        <w:pStyle w:val="BodyText"/>
        <w:rPr/>
      </w:pPr>
      <w:r>
        <w:rPr/>
        <w:t xml:space="preserve">But even if, </w:t>
      </w:r>
      <w:r>
        <w:rPr>
          <w:u w:val="single"/>
        </w:rPr>
        <w:t>arguendo</w:t>
      </w:r>
      <w:r>
        <w:rPr/>
        <w:t>, PPM was not obligated to file the PPA, the fact remains that it did.  PPM may not withdraw the filing without the authorization of FERC.  In this case, FERC should deny PPM’s request for authority to withdraw the filing.  PPM has made no effort to demonstrate that the terms of the PPA are just and reasonable, and there are good reasons to doubt that the terms of the PPA meet the statutory standard.  There is substantial uncontroverted evidence that PPM, like other suppliers, possessed market power at the time that the PPA was negotiated and entered into.  For instance, forecasts issued this spring by the California Independent System Operator Corp. and others predicted many hours of rotating outages in California.  Accordingly CDWR may have felt obligated to agree to rates, terms and conditions which are not just and reasonable.  Moreover, as indicated above, news reports suggest that the CDWR paid substantially over the then-current market prices for this contract, prices which will be passed through to California retail ratepayers.</w:t>
      </w:r>
    </w:p>
    <w:p>
      <w:pPr>
        <w:pStyle w:val="BodyText"/>
        <w:rPr/>
      </w:pPr>
      <w:r>
        <w:rPr/>
        <w:t>FERC has repeatedly determined that the California energy markets are not workably competitive, and do not produce just and reasonable prices,</w:t>
      </w:r>
      <w:r>
        <w:rPr>
          <w:rStyle w:val="FootnoteCharacters"/>
          <w:rStyle w:val="FootnoteReference"/>
        </w:rPr>
        <w:footnoteReference w:id="3"/>
      </w:r>
      <w:r>
        <w:rPr/>
        <w:t xml:space="preserve"> and has gone so far as to set a hearing to calculate the refunds due with respect to the California spot markets.  Moreover, as the CPUC has previously pointed out,</w:t>
      </w:r>
      <w:r>
        <w:rPr>
          <w:rStyle w:val="FootnoteCharacters"/>
          <w:rStyle w:val="FootnoteReference"/>
        </w:rPr>
        <w:footnoteReference w:id="4"/>
      </w:r>
      <w:r>
        <w:rPr/>
        <w:t xml:space="preserve"> market power in spot markets translates into market power in forward markets as well.  Dr. Frank Wolak, the chair of the Market Surveillance Committee, made this same point in an article which appeared recently in the (San Diego) North County Times.</w:t>
      </w:r>
      <w:r>
        <w:rPr>
          <w:rStyle w:val="FootnoteCharacters"/>
          <w:rStyle w:val="FootnoteReference"/>
        </w:rPr>
        <w:footnoteReference w:id="5"/>
      </w:r>
      <w:r>
        <w:rPr/>
        <w:t xml:space="preserve">   FERC came to the same conclusion in the November 1, Order, saying that “higher spot prices in turn affect the prices in forward markets.”  November 1, Order, slip op. at 38.  FERC’s conclusion that spot market prices have been unjust and unreasonable, along with its concession that spot prices affect forward prices, lead to the presumption that forward prices agreed to this spring were affected by market power and thus may not be just and reasonable.  Like prices, contract terms and conditions may be affected by parties’ unequal bargaining power.  </w:t>
      </w:r>
      <w:r>
        <w:rPr>
          <w:u w:val="single"/>
        </w:rPr>
        <w:t>Transmission Access Policy Study Group v. FERC</w:t>
      </w:r>
      <w:r>
        <w:rPr/>
        <w:t>, 225 F.3d 667, 709-712 (D.C. Cir. 2000).  The terms and conditions of the PPA have not been shown to be just and reasonable, and may not be just and reasonable.</w:t>
      </w:r>
    </w:p>
    <w:p>
      <w:pPr>
        <w:pStyle w:val="BodyText"/>
        <w:rPr/>
      </w:pPr>
      <w:r>
        <w:rPr/>
        <w:t>PPM and/or FERC may respond that withdrawal should be authorized because the PPA may be challenged by a § 206 complaint.  For several reasons, this response is insufficient.  First, a § 206 complaint provides prospective relief only, and therefore provides incomplete relief.  Second, the burden of proof is on the complainant in a § 206 proceeding, rather than on PPM as it is in this proceeding.  Perhaps more importantly, however, is the fact that the filing has been made, and the issue of the just and reasonableness of the rates and terms of the PPA has been joined.  There is no reason to effectively dismiss the case and require the parties to start again from scratch, other than to enable PPM to avoid scrutiny.</w:t>
      </w:r>
    </w:p>
    <w:p>
      <w:pPr>
        <w:pStyle w:val="BodyText"/>
        <w:ind w:hanging="0" w:end="0"/>
        <w:rPr/>
      </w:pPr>
      <w:r>
        <w:rPr/>
        <w:t>///</w:t>
      </w:r>
    </w:p>
    <w:p>
      <w:pPr>
        <w:pStyle w:val="BodyText"/>
        <w:ind w:hanging="0" w:end="0"/>
        <w:rPr/>
      </w:pPr>
      <w:r>
        <w:rPr/>
      </w:r>
    </w:p>
    <w:p>
      <w:pPr>
        <w:pStyle w:val="BodyText"/>
        <w:ind w:hanging="0" w:end="0"/>
        <w:rPr/>
      </w:pPr>
      <w:r>
        <w:rPr/>
        <w:t>///</w:t>
      </w:r>
    </w:p>
    <w:p>
      <w:pPr>
        <w:pStyle w:val="BodyText"/>
        <w:ind w:hanging="0" w:end="0"/>
        <w:rPr/>
      </w:pPr>
      <w:r>
        <w:rPr/>
      </w:r>
    </w:p>
    <w:p>
      <w:pPr>
        <w:pStyle w:val="BodyText"/>
        <w:ind w:hanging="0" w:end="0"/>
        <w:rPr/>
      </w:pPr>
      <w:r>
        <w:rPr/>
        <w:t>///</w:t>
      </w:r>
    </w:p>
    <w:p>
      <w:pPr>
        <w:pStyle w:val="BodyText"/>
        <w:ind w:hanging="0" w:end="0"/>
        <w:rPr/>
      </w:pPr>
      <w:r>
        <w:rPr/>
      </w:r>
    </w:p>
    <w:p>
      <w:pPr>
        <w:pStyle w:val="BodyText"/>
        <w:ind w:hanging="0" w:end="0"/>
        <w:rPr/>
      </w:pPr>
      <w:r>
        <w:rPr/>
        <w:t>///</w:t>
      </w:r>
      <w:r>
        <w:br w:type="page"/>
      </w:r>
    </w:p>
    <w:p>
      <w:pPr>
        <w:pStyle w:val="BodyText"/>
        <w:rPr/>
      </w:pPr>
      <w:r>
        <w:rPr/>
        <w:t>FERC should deny the request to withdraw the filing and, as requested by the CPUC previously, set this matter for hearing.</w:t>
      </w:r>
    </w:p>
    <w:p>
      <w:pPr>
        <w:pStyle w:val="Normal"/>
        <w:ind w:start="4320" w:end="0"/>
        <w:rPr>
          <w:rStyle w:val="LineNumber"/>
          <w:sz w:val="24"/>
        </w:rPr>
      </w:pPr>
      <w:r>
        <w:rPr/>
      </w:r>
    </w:p>
    <w:p>
      <w:pPr>
        <w:pStyle w:val="Normal"/>
        <w:ind w:start="4320" w:end="0"/>
        <w:rPr/>
      </w:pPr>
      <w:r>
        <w:rPr>
          <w:rStyle w:val="LineNumber"/>
          <w:sz w:val="24"/>
        </w:rPr>
        <w:t>Respectfully submitted,</w:t>
      </w:r>
    </w:p>
    <w:p>
      <w:pPr>
        <w:pStyle w:val="Normal"/>
        <w:ind w:start="4320" w:end="0"/>
        <w:rPr>
          <w:rStyle w:val="LineNumber"/>
          <w:sz w:val="24"/>
        </w:rPr>
      </w:pPr>
      <w:r>
        <w:rPr/>
      </w:r>
    </w:p>
    <w:p>
      <w:pPr>
        <w:pStyle w:val="Normal"/>
        <w:ind w:start="4320" w:end="0"/>
        <w:rPr/>
      </w:pPr>
      <w:r>
        <w:rPr>
          <w:rStyle w:val="LineNumber"/>
          <w:sz w:val="24"/>
        </w:rPr>
        <w:t>GARY M. COHEN</w:t>
      </w:r>
    </w:p>
    <w:p>
      <w:pPr>
        <w:pStyle w:val="Normal"/>
        <w:ind w:start="4320" w:end="0"/>
        <w:rPr/>
      </w:pPr>
      <w:r>
        <w:rPr>
          <w:rStyle w:val="LineNumber"/>
          <w:sz w:val="24"/>
        </w:rPr>
        <w:t xml:space="preserve">AROCLES AGUILAR </w:t>
      </w:r>
    </w:p>
    <w:p>
      <w:pPr>
        <w:pStyle w:val="Normal"/>
        <w:ind w:start="4320" w:end="0"/>
        <w:rPr/>
      </w:pPr>
      <w:r>
        <w:rPr>
          <w:rStyle w:val="LineNumber"/>
          <w:sz w:val="24"/>
        </w:rPr>
        <w:t>SEAN H. GALLAGHER</w:t>
      </w:r>
    </w:p>
    <w:p>
      <w:pPr>
        <w:pStyle w:val="Normal"/>
        <w:ind w:start="4320" w:end="0"/>
        <w:rPr>
          <w:rStyle w:val="LineNumber"/>
          <w:sz w:val="24"/>
        </w:rPr>
      </w:pPr>
      <w:r>
        <w:rPr/>
      </w:r>
    </w:p>
    <w:p>
      <w:pPr>
        <w:pStyle w:val="Normal"/>
        <w:ind w:start="4320" w:end="0"/>
        <w:rPr>
          <w:rStyle w:val="LineNumber"/>
          <w:sz w:val="24"/>
        </w:rPr>
      </w:pPr>
      <w:r>
        <w:rPr/>
      </w:r>
    </w:p>
    <w:p>
      <w:pPr>
        <w:pStyle w:val="Normal"/>
        <w:ind w:start="3600" w:end="0"/>
        <w:rPr/>
      </w:pPr>
      <w:r>
        <w:rPr>
          <w:rStyle w:val="LineNumber"/>
          <w:sz w:val="24"/>
        </w:rPr>
        <w:t>By:</w:t>
        <w:tab/>
        <w:t xml:space="preserve">      /s/  SEAN H. GALLAGHER</w:t>
      </w:r>
    </w:p>
    <w:p>
      <w:pPr>
        <w:pStyle w:val="Normal"/>
        <w:ind w:start="4320" w:end="0"/>
        <w:rPr/>
      </w:pPr>
      <w:r>
        <w:rPr>
          <w:rStyle w:val="LineNumber"/>
          <w:sz w:val="24"/>
        </w:rPr>
        <w:t>_______________________________</w:t>
      </w:r>
    </w:p>
    <w:p>
      <w:pPr>
        <w:pStyle w:val="Normal"/>
        <w:ind w:firstLine="720" w:start="4320" w:end="0"/>
        <w:rPr/>
      </w:pPr>
      <w:r>
        <w:rPr>
          <w:rStyle w:val="LineNumber"/>
          <w:sz w:val="24"/>
        </w:rPr>
        <w:t>SEAN H. GALLAGHER</w:t>
      </w:r>
    </w:p>
    <w:p>
      <w:pPr>
        <w:pStyle w:val="Normal"/>
        <w:ind w:start="4320" w:end="0"/>
        <w:rPr>
          <w:rStyle w:val="LineNumber"/>
          <w:sz w:val="24"/>
        </w:rPr>
      </w:pPr>
      <w:r>
        <w:rPr/>
      </w:r>
    </w:p>
    <w:p>
      <w:pPr>
        <w:pStyle w:val="Normal"/>
        <w:ind w:start="4320" w:end="0"/>
        <w:rPr/>
      </w:pPr>
      <w:r>
        <w:rPr>
          <w:rStyle w:val="LineNumber"/>
          <w:sz w:val="24"/>
        </w:rPr>
        <w:t>Attorneys for the Public Utilities Commission of the State of California</w:t>
      </w:r>
    </w:p>
    <w:p>
      <w:pPr>
        <w:pStyle w:val="Normal"/>
        <w:ind w:start="4320" w:end="0"/>
        <w:rPr>
          <w:rStyle w:val="LineNumber"/>
          <w:sz w:val="24"/>
        </w:rPr>
      </w:pPr>
      <w:r>
        <w:rPr/>
      </w:r>
    </w:p>
    <w:p>
      <w:pPr>
        <w:pStyle w:val="Normal"/>
        <w:ind w:start="4320" w:end="0"/>
        <w:rPr/>
      </w:pPr>
      <w:r>
        <w:rPr>
          <w:rStyle w:val="LineNumber"/>
          <w:sz w:val="24"/>
        </w:rPr>
        <w:t>505 Van Ness Ave., Room 5035</w:t>
      </w:r>
    </w:p>
    <w:p>
      <w:pPr>
        <w:pStyle w:val="Normal"/>
        <w:ind w:start="4320" w:end="0"/>
        <w:rPr/>
      </w:pPr>
      <w:r>
        <w:rPr>
          <w:rStyle w:val="LineNumber"/>
          <w:sz w:val="24"/>
        </w:rPr>
        <w:t>San Francisco, CA  94102</w:t>
      </w:r>
    </w:p>
    <w:p>
      <w:pPr>
        <w:pStyle w:val="Normal"/>
        <w:rPr/>
      </w:pPr>
      <w:r>
        <w:rPr>
          <w:rStyle w:val="LineNumber"/>
          <w:sz w:val="24"/>
        </w:rPr>
        <w:t>September 17, 2001</w:t>
        <w:tab/>
        <w:tab/>
        <w:tab/>
        <w:tab/>
        <w:t>Phone: (415) 703-2059</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Style w:val="LineNumber"/>
          <w:sz w:val="24"/>
          <w:u w:val="single"/>
        </w:rPr>
        <w:t xml:space="preserve"> </w:t>
      </w:r>
    </w:p>
    <w:p>
      <w:pPr>
        <w:pStyle w:val="BodyText"/>
        <w:ind w:hanging="0" w:end="0"/>
        <w:jc w:val="center"/>
        <w:rPr/>
      </w:pPr>
      <w:r>
        <w:rPr>
          <w:rStyle w:val="LineNumber"/>
          <w:u w:val="single"/>
        </w:rPr>
        <w:t>CERTIFICATE OF SERVICE</w:t>
      </w:r>
    </w:p>
    <w:p>
      <w:pPr>
        <w:pStyle w:val="BodyText"/>
        <w:ind w:hanging="0" w:end="0"/>
        <w:jc w:val="center"/>
        <w:rPr>
          <w:rStyle w:val="LineNumber"/>
          <w:u w:val="single"/>
        </w:rPr>
      </w:pPr>
      <w:r>
        <w:rPr/>
      </w:r>
    </w:p>
    <w:p>
      <w:pPr>
        <w:pStyle w:val="BodyText"/>
        <w:ind w:hanging="0" w:end="0"/>
        <w:rPr/>
      </w:pPr>
      <w:r>
        <w:rPr>
          <w:rStyle w:val="LineNumber"/>
        </w:rPr>
        <w:tab/>
        <w:t>I hereby certify that I have this day caused the foregoing document be served upon all known parties in this proceeding by mailing by first-class mail a copy thereof properly addressed to each such party.</w:t>
      </w:r>
    </w:p>
    <w:p>
      <w:pPr>
        <w:pStyle w:val="BodyText"/>
        <w:ind w:hanging="0" w:end="0"/>
        <w:rPr/>
      </w:pPr>
      <w:r>
        <w:rPr>
          <w:rStyle w:val="LineNumber"/>
        </w:rPr>
        <w:tab/>
        <w:t>Dated at San Francisco, California, this 17</w:t>
      </w:r>
      <w:r>
        <w:rPr>
          <w:rStyle w:val="LineNumber"/>
          <w:vertAlign w:val="superscript"/>
        </w:rPr>
        <w:t>th</w:t>
      </w:r>
      <w:r>
        <w:rPr>
          <w:rStyle w:val="LineNumber"/>
        </w:rPr>
        <w:t xml:space="preserve"> day of September, 2001.</w:t>
      </w:r>
    </w:p>
    <w:p>
      <w:pPr>
        <w:pStyle w:val="BodyText"/>
        <w:ind w:hanging="0" w:end="0"/>
        <w:rPr>
          <w:rStyle w:val="LineNumber"/>
        </w:rPr>
      </w:pPr>
      <w:r>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645" w:leader="none"/>
        </w:tabs>
        <w:spacing w:lineRule="auto" w:line="240"/>
        <w:ind w:hanging="0" w:end="0"/>
        <w:rPr>
          <w:rStyle w:val="LineNumber"/>
          <w:sz w:val="26"/>
        </w:rPr>
      </w:pPr>
      <w:r>
        <w:rPr>
          <w:rStyle w:val="LineNumber"/>
        </w:rPr>
        <w:tab/>
        <w:tab/>
        <w:tab/>
        <w:tab/>
        <w:tab/>
        <w:tab/>
        <w:tab/>
        <w:t xml:space="preserve">     /s/  Sean H. Gallagher</w:t>
      </w:r>
    </w:p>
    <w:p>
      <w:pPr>
        <w:pStyle w:val="BodyText"/>
        <w:spacing w:lineRule="auto" w:line="240"/>
        <w:ind w:hanging="0" w:end="0"/>
        <w:rPr>
          <w:rStyle w:val="LineNumber"/>
        </w:rPr>
      </w:pPr>
      <w:r>
        <w:rPr>
          <w:rStyle w:val="LineNumber"/>
        </w:rPr>
        <w:tab/>
        <w:tab/>
        <w:tab/>
        <w:tab/>
        <w:tab/>
        <w:tab/>
        <w:tab/>
      </w:r>
      <w:r>
        <w:rPr>
          <w:rStyle w:val="LineNumber"/>
          <w:u w:val="single"/>
        </w:rPr>
        <w:tab/>
        <w:tab/>
        <w:tab/>
        <w:tab/>
        <w:tab/>
      </w:r>
    </w:p>
    <w:p>
      <w:pPr>
        <w:pStyle w:val="BodyText"/>
        <w:spacing w:lineRule="auto" w:line="240"/>
        <w:ind w:hanging="0" w:end="0"/>
        <w:rPr>
          <w:rStyle w:val="LineNumber"/>
          <w:u w:val="single"/>
        </w:rPr>
      </w:pPr>
      <w:r>
        <w:rPr>
          <w:rStyle w:val="LineNumber"/>
        </w:rPr>
        <w:tab/>
        <w:tab/>
        <w:tab/>
        <w:tab/>
        <w:tab/>
        <w:tab/>
        <w:tab/>
        <w:t xml:space="preserve">           Sean H. Gallagher</w:t>
      </w:r>
    </w:p>
    <w:p>
      <w:pPr>
        <w:pStyle w:val="BodyText"/>
        <w:spacing w:lineRule="auto" w:line="240"/>
        <w:rPr>
          <w:rStyle w:val="LineNumber"/>
          <w:u w:val="single"/>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PPM may have good reason for desiring to avoid subjecting the contract to public scrutiny.  News reports indicate that PPM charged CDWR over $400 million in capacity payments alone, over a ten year period, for approximately 60% of the capacity of a plant that cost $309 million to construct.  </w:t>
      </w:r>
      <w:r>
        <w:rPr>
          <w:u w:val="single"/>
        </w:rPr>
        <w:t>See</w:t>
      </w:r>
      <w:r>
        <w:rPr/>
        <w:t xml:space="preserve"> Exhibit A.</w:t>
      </w:r>
    </w:p>
  </w:footnote>
  <w:footnote w:id="3">
    <w:p>
      <w:pPr>
        <w:pStyle w:val="FootnoteText"/>
        <w:rPr/>
      </w:pPr>
      <w:r>
        <w:rPr>
          <w:rStyle w:val="FootnoteCharacters"/>
        </w:rPr>
        <w:footnoteRef/>
      </w:r>
      <w:r>
        <w:rPr/>
        <w:t xml:space="preserve"> </w:t>
      </w:r>
      <w:r>
        <w:rPr>
          <w:u w:val="single"/>
        </w:rPr>
        <w:t>San Diego Gas &amp; Electric Company, et al.</w:t>
      </w:r>
      <w:r>
        <w:rPr/>
        <w:t xml:space="preserve">, 93 FERC ¶ 61,294 (2000) (“December 15 Order”); </w:t>
      </w:r>
      <w:r>
        <w:rPr>
          <w:u w:val="single"/>
        </w:rPr>
        <w:t>San Diego Gas &amp; Electric Company, et al.</w:t>
      </w:r>
      <w:r>
        <w:rPr/>
        <w:t xml:space="preserve">, 94 FERC ¶ 61,245 (2001) (“March 9 Order”); </w:t>
      </w:r>
      <w:r>
        <w:rPr>
          <w:u w:val="single"/>
        </w:rPr>
        <w:t>San Diego Gas &amp; Electric Company, et al.</w:t>
      </w:r>
      <w:r>
        <w:rPr/>
        <w:t xml:space="preserve">, 95 FERC ¶ 61,115 (2001) (“April 26 Order”); </w:t>
      </w:r>
      <w:r>
        <w:rPr>
          <w:u w:val="single"/>
        </w:rPr>
        <w:t>San Diego Gas &amp; Electric Company, et al.</w:t>
      </w:r>
      <w:r>
        <w:rPr/>
        <w:t xml:space="preserve">, 95 FERC ¶ 61,418 (2001) (“June 19 Order”); </w:t>
      </w:r>
      <w:r>
        <w:rPr>
          <w:u w:val="single"/>
        </w:rPr>
        <w:t>San Diego Gas &amp; Electric Company, et al.</w:t>
      </w:r>
      <w:r>
        <w:rPr/>
        <w:t>, 96 FERC ¶ 61,120 (2001) (“July 25 Order”).</w:t>
      </w:r>
    </w:p>
  </w:footnote>
  <w:footnote w:id="4">
    <w:p>
      <w:pPr>
        <w:pStyle w:val="FootnoteText"/>
        <w:rPr/>
      </w:pPr>
      <w:r>
        <w:rPr>
          <w:rStyle w:val="FootnoteCharacters"/>
        </w:rPr>
        <w:footnoteRef/>
      </w:r>
      <w:r>
        <w:rPr/>
        <w:t xml:space="preserve"> </w:t>
      </w:r>
      <w:r>
        <w:rPr>
          <w:u w:val="single"/>
        </w:rPr>
        <w:t>See</w:t>
      </w:r>
      <w:r>
        <w:rPr/>
        <w:t xml:space="preserve"> Response of the Public Utilities Commission of the State of California to November 1, 2000 Order, and Request for Rehearing as to Issues Which Have Been Finally Determined (“November 22 Response”) at 21 (“Forward markets are influenced by spot markets.  When spot market prices are inflated by the exercise of market power, forward prices will track those inflated prices.  Under current market conditions, any plan which seeks to mitigate spot market pricing by relying, as FERC’s proposal does, on forward contracting, must also address the reasonableness of forward markets”).</w:t>
        <w:br/>
      </w:r>
    </w:p>
  </w:footnote>
  <w:footnote w:id="5">
    <w:p>
      <w:pPr>
        <w:pStyle w:val="FootnoteText"/>
        <w:rPr/>
      </w:pPr>
      <w:r>
        <w:rPr>
          <w:rStyle w:val="FootnoteCharacters"/>
        </w:rPr>
        <w:footnoteRef/>
      </w:r>
      <w:r>
        <w:rPr/>
        <w:t xml:space="preserve"> </w:t>
      </w:r>
      <w:r>
        <w:rPr>
          <w:u w:val="single"/>
        </w:rPr>
        <w:t>See</w:t>
      </w:r>
      <w:r>
        <w:rPr/>
        <w:t xml:space="preserve">, </w:t>
      </w:r>
      <w:hyperlink r:id="rId1">
        <w:r>
          <w:rPr>
            <w:rStyle w:val="Hyperlink"/>
          </w:rPr>
          <w:t>http://www.nctimes.com/news/2001/20010711/103105.html</w:t>
        </w:r>
      </w:hyperlink>
      <w:r>
        <w:rPr/>
        <w:t xml:space="preserve"> (“Unless FERC requires it to do so, a profit-seeking generator will not offer a long-term contract for delivery at prices it expects will yield less profit than it expects to earn from selling in the spot and shorter horizon forward markets over the duration of the long-term contract. . . . California paid for this market power on the installment plan, through higher prices in the later years of the contracts”).</w:t>
        <w:b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double" w:sz="6" w:space="1" w:color="000000"/>
      </w:pBdr>
      <w:tabs>
        <w:tab w:val="clear" w:pos="720"/>
        <w:tab w:val="left" w:pos="8280" w:leader="none"/>
        <w:tab w:val="left" w:pos="8370" w:leader="none"/>
        <w:tab w:val="right" w:pos="11070" w:leader="none"/>
      </w:tabs>
      <w:ind w:end="-720"/>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right" w:pos="11070" w:leader="none"/>
      </w:tabs>
      <w:spacing w:before="80" w:after="0"/>
      <w:rPr>
        <w:rFonts w:ascii="Arial" w:hAnsi="Arial" w:cs="Arial"/>
        <w:sz w:val="16"/>
      </w:rPr>
    </w:pPr>
    <w:r>
      <w:rPr>
        <w:rFonts w:cs="Arial" w:ascii="Arial" w:hAnsi="Arial"/>
        <w:sz w:val="16"/>
      </w:rPr>
    </w:r>
  </w:p>
  <w:p>
    <w:pPr>
      <w:pStyle w:val="Header"/>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3"/>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BodyText"/>
    <w:next w:val="BodyText"/>
    <w:qFormat/>
    <w:pPr>
      <w:keepNext w:val="true"/>
      <w:keepLines/>
      <w:numPr>
        <w:ilvl w:val="0"/>
        <w:numId w:val="1"/>
      </w:numPr>
      <w:spacing w:lineRule="auto" w:line="240" w:before="120" w:after="120"/>
      <w:ind w:firstLine="720" w:start="0" w:end="720"/>
      <w:outlineLvl w:val="0"/>
    </w:pPr>
    <w:rPr>
      <w:b/>
      <w:kern w:val="2"/>
    </w:rPr>
  </w:style>
  <w:style w:type="paragraph" w:styleId="Heading2">
    <w:name w:val="heading 2"/>
    <w:basedOn w:val="BodyText"/>
    <w:next w:val="BodyText"/>
    <w:qFormat/>
    <w:pPr>
      <w:keepNext w:val="true"/>
      <w:numPr>
        <w:ilvl w:val="1"/>
        <w:numId w:val="1"/>
      </w:numPr>
      <w:spacing w:lineRule="auto" w:line="240" w:before="120" w:after="120"/>
      <w:ind w:firstLine="720" w:start="0" w:end="1440"/>
      <w:outlineLvl w:val="1"/>
    </w:pPr>
    <w:rPr>
      <w:b/>
    </w:rPr>
  </w:style>
  <w:style w:type="paragraph" w:styleId="Heading3">
    <w:name w:val="heading 3"/>
    <w:basedOn w:val="BodyText"/>
    <w:next w:val="BodyText"/>
    <w:qFormat/>
    <w:pPr>
      <w:keepNext w:val="true"/>
      <w:numPr>
        <w:ilvl w:val="2"/>
        <w:numId w:val="1"/>
      </w:numPr>
      <w:spacing w:lineRule="auto" w:line="240" w:before="120" w:after="120"/>
      <w:ind w:firstLine="720" w:start="0" w:end="1440"/>
      <w:outlineLvl w:val="2"/>
    </w:pPr>
    <w:rPr>
      <w:b/>
    </w:rPr>
  </w:style>
  <w:style w:type="paragraph" w:styleId="Heading4">
    <w:name w:val="heading 4"/>
    <w:basedOn w:val="BodyText"/>
    <w:next w:val="BodyText"/>
    <w:qFormat/>
    <w:pPr>
      <w:keepNext w:val="true"/>
      <w:numPr>
        <w:ilvl w:val="3"/>
        <w:numId w:val="1"/>
      </w:numPr>
      <w:spacing w:lineRule="auto" w:line="240" w:before="120" w:after="120"/>
      <w:ind w:firstLine="720" w:start="0" w:end="1440"/>
      <w:outlineLvl w:val="3"/>
    </w:pPr>
    <w:rPr>
      <w:i/>
    </w:rPr>
  </w:style>
  <w:style w:type="paragraph" w:styleId="Heading5">
    <w:name w:val="heading 5"/>
    <w:basedOn w:val="Normal"/>
    <w:next w:val="Normal"/>
    <w:qFormat/>
    <w:pPr>
      <w:numPr>
        <w:ilvl w:val="4"/>
        <w:numId w:val="1"/>
      </w:numPr>
      <w:spacing w:before="120" w:after="12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pPr>
      <w:widowControl/>
      <w:bidi w:val="0"/>
      <w:spacing w:lineRule="auto" w:line="480"/>
      <w:ind w:firstLine="720" w:start="0" w:end="0"/>
    </w:pPr>
    <w:rPr>
      <w:rFonts w:ascii="Times New Roman" w:hAnsi="Times New Roman" w:eastAsia="Times New Roman" w:cs="Times New Roman"/>
      <w:color w:val="auto"/>
      <w:sz w:val="24"/>
      <w:szCs w:val="20"/>
      <w:lang w:val="en-US" w:bidi="ar-SA" w:eastAsia="zh-CN"/>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lineRule="auto" w:line="240"/>
      <w:ind w:hanging="0" w:start="0" w:end="0"/>
    </w:pPr>
    <w:rPr/>
  </w:style>
  <w:style w:type="paragraph" w:styleId="Index">
    <w:name w:val="Index"/>
    <w:basedOn w:val="Normal"/>
    <w:qFormat/>
    <w:pPr>
      <w:suppressLineNumbers/>
    </w:pPr>
    <w:rPr>
      <w:rFonts w:cs="NotoSans NF"/>
    </w:rPr>
  </w:style>
  <w:style w:type="paragraph" w:styleId="FootnoteText">
    <w:name w:val="footnote text"/>
    <w:basedOn w:val="Normal"/>
    <w:pPr>
      <w:keepLines/>
      <w:widowControl w:val="false"/>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keepNext w:val="true"/>
      <w:tabs>
        <w:tab w:val="clear" w:pos="720"/>
        <w:tab w:val="right" w:pos="8640" w:leader="dot"/>
      </w:tabs>
      <w:suppressAutoHyphens w:val="true"/>
      <w:spacing w:before="120" w:after="120"/>
      <w:ind w:hanging="245" w:start="245" w:end="1440"/>
    </w:pPr>
    <w:rPr>
      <w:b/>
      <w:caps/>
      <w:sz w:val="26"/>
      <w:lang w:val="en-CA" w:eastAsia="en-CA"/>
    </w:rPr>
  </w:style>
  <w:style w:type="paragraph" w:styleId="TOC2">
    <w:name w:val="toc 2"/>
    <w:basedOn w:val="Normal"/>
    <w:next w:val="Normal"/>
    <w:pPr>
      <w:tabs>
        <w:tab w:val="clear" w:pos="720"/>
        <w:tab w:val="right" w:pos="8640" w:leader="dot"/>
      </w:tabs>
      <w:suppressAutoHyphens w:val="true"/>
      <w:spacing w:before="0" w:after="120"/>
      <w:ind w:hanging="288" w:start="720" w:end="1440"/>
    </w:pPr>
    <w:rPr>
      <w:smallCaps/>
      <w:lang w:val="en-CA" w:eastAsia="en-CA"/>
    </w:rPr>
  </w:style>
  <w:style w:type="paragraph" w:styleId="TOC3">
    <w:name w:val="toc 3"/>
    <w:basedOn w:val="Normal"/>
    <w:next w:val="Normal"/>
    <w:pPr>
      <w:tabs>
        <w:tab w:val="clear" w:pos="720"/>
        <w:tab w:val="right" w:pos="8640" w:leader="dot"/>
      </w:tabs>
      <w:spacing w:before="0" w:after="120"/>
      <w:ind w:hanging="245" w:start="1109" w:end="1440"/>
    </w:pPr>
    <w:rPr>
      <w:lang w:val="en-CA" w:eastAsia="en-CA"/>
    </w:rPr>
  </w:style>
  <w:style w:type="paragraph" w:styleId="TOC4">
    <w:name w:val="toc 4"/>
    <w:basedOn w:val="Normal"/>
    <w:next w:val="Normal"/>
    <w:pPr>
      <w:tabs>
        <w:tab w:val="clear" w:pos="720"/>
        <w:tab w:val="right" w:pos="8640" w:leader="dot"/>
      </w:tabs>
      <w:ind w:hanging="0" w:start="480" w:end="0"/>
    </w:pPr>
    <w:rPr>
      <w:sz w:val="18"/>
    </w:rPr>
  </w:style>
  <w:style w:type="paragraph" w:styleId="TOC5">
    <w:name w:val="toc 5"/>
    <w:basedOn w:val="Normal"/>
    <w:next w:val="Normal"/>
    <w:pPr>
      <w:tabs>
        <w:tab w:val="clear" w:pos="720"/>
        <w:tab w:val="right" w:pos="8640" w:leader="dot"/>
      </w:tabs>
      <w:ind w:hanging="0" w:start="720" w:end="0"/>
    </w:pPr>
    <w:rPr>
      <w:sz w:val="18"/>
    </w:rPr>
  </w:style>
  <w:style w:type="paragraph" w:styleId="TOC6">
    <w:name w:val="toc 6"/>
    <w:basedOn w:val="Normal"/>
    <w:next w:val="Normal"/>
    <w:pPr>
      <w:tabs>
        <w:tab w:val="clear" w:pos="720"/>
        <w:tab w:val="right" w:pos="8640" w:leader="dot"/>
      </w:tabs>
      <w:ind w:hanging="0" w:start="960" w:end="0"/>
    </w:pPr>
    <w:rPr>
      <w:sz w:val="18"/>
    </w:rPr>
  </w:style>
  <w:style w:type="paragraph" w:styleId="TOC7">
    <w:name w:val="toc 7"/>
    <w:basedOn w:val="Normal"/>
    <w:next w:val="Normal"/>
    <w:pPr>
      <w:tabs>
        <w:tab w:val="clear" w:pos="720"/>
        <w:tab w:val="right" w:pos="8640" w:leader="dot"/>
      </w:tabs>
      <w:ind w:hanging="0" w:start="1200" w:end="0"/>
    </w:pPr>
    <w:rPr>
      <w:sz w:val="18"/>
    </w:rPr>
  </w:style>
  <w:style w:type="paragraph" w:styleId="TOC8">
    <w:name w:val="toc 8"/>
    <w:basedOn w:val="Normal"/>
    <w:next w:val="Normal"/>
    <w:pPr>
      <w:tabs>
        <w:tab w:val="clear" w:pos="720"/>
        <w:tab w:val="right" w:pos="8640" w:leader="dot"/>
      </w:tabs>
      <w:ind w:hanging="0" w:start="1440" w:end="0"/>
    </w:pPr>
    <w:rPr>
      <w:sz w:val="18"/>
    </w:rPr>
  </w:style>
  <w:style w:type="paragraph" w:styleId="TOC9">
    <w:name w:val="toc 9"/>
    <w:basedOn w:val="Normal"/>
    <w:next w:val="Normal"/>
    <w:pPr>
      <w:tabs>
        <w:tab w:val="clear" w:pos="720"/>
        <w:tab w:val="right" w:pos="8640" w:leader="dot"/>
      </w:tabs>
      <w:ind w:hanging="0" w:start="1680" w:end="0"/>
    </w:pPr>
    <w:rPr>
      <w:sz w:val="18"/>
    </w:rPr>
  </w:style>
  <w:style w:type="paragraph" w:styleId="Header">
    <w:name w:val="header"/>
    <w:basedOn w:val="Normal"/>
    <w:pPr>
      <w:tabs>
        <w:tab w:val="clear" w:pos="720"/>
        <w:tab w:val="center" w:pos="4320" w:leader="none"/>
        <w:tab w:val="right" w:pos="8640" w:leader="none"/>
      </w:tabs>
    </w:pPr>
    <w:rPr/>
  </w:style>
  <w:style w:type="paragraph" w:styleId="Quotation">
    <w:name w:val="Quotation"/>
    <w:basedOn w:val="BodyText"/>
    <w:next w:val="BodyText"/>
    <w:qFormat/>
    <w:pPr>
      <w:spacing w:lineRule="auto" w:line="240" w:before="0" w:after="120"/>
      <w:ind w:hanging="0" w:start="1440" w:end="1440"/>
    </w:pPr>
    <w:rPr/>
  </w:style>
  <w:style w:type="paragraph" w:styleId="TableofAuthorities">
    <w:name w:val="Table of Authorities"/>
    <w:basedOn w:val="Normal"/>
    <w:next w:val="Normal"/>
    <w:qFormat/>
    <w:pPr>
      <w:tabs>
        <w:tab w:val="clear" w:pos="720"/>
        <w:tab w:val="right" w:pos="8640" w:leader="dot"/>
      </w:tabs>
      <w:ind w:hanging="245" w:start="245" w:end="1440"/>
    </w:pPr>
    <w:rPr>
      <w:i/>
      <w:lang w:val="en-CA" w:eastAsia="en-CA"/>
    </w:rPr>
  </w:style>
  <w:style w:type="paragraph" w:styleId="ListNumber3">
    <w:name w:val="List Number 3"/>
    <w:basedOn w:val="Normal"/>
    <w:qFormat/>
    <w:pPr>
      <w:numPr>
        <w:ilvl w:val="0"/>
        <w:numId w:val="2"/>
      </w:numPr>
      <w:ind w:hanging="360" w:start="1080" w:end="0"/>
    </w:pPr>
    <w:rPr/>
  </w:style>
  <w:style w:type="paragraph" w:styleId="TOAHeading">
    <w:name w:val="TOA Heading"/>
    <w:basedOn w:val="ListNumber3"/>
    <w:next w:val="Normal"/>
    <w:qFormat/>
    <w:pPr>
      <w:spacing w:before="240" w:after="120"/>
      <w:ind w:hanging="0" w:start="0" w:end="0"/>
    </w:pPr>
    <w:rPr>
      <w:b/>
      <w:smallCaps/>
    </w:rPr>
  </w:style>
  <w:style w:type="paragraph" w:styleId="Signature">
    <w:name w:val="Signature"/>
    <w:basedOn w:val="BodyText"/>
    <w:pPr>
      <w:keepNext w:val="true"/>
      <w:keepLines/>
      <w:spacing w:lineRule="auto" w:line="240"/>
      <w:ind w:firstLine="720" w:start="4320" w:end="0"/>
    </w:pPr>
    <w:rPr/>
  </w:style>
  <w:style w:type="paragraph" w:styleId="ListBullet">
    <w:name w:val="List Bullet"/>
    <w:basedOn w:val="Normal"/>
    <w:qFormat/>
    <w:pPr>
      <w:numPr>
        <w:ilvl w:val="0"/>
        <w:numId w:val="3"/>
      </w:numPr>
      <w:spacing w:before="0" w:after="120"/>
      <w:ind w:hanging="360" w:start="360" w:end="0"/>
    </w:pPr>
    <w:rPr/>
  </w:style>
  <w:style w:type="paragraph" w:styleId="Brief">
    <w:name w:val="Brief"/>
    <w:basedOn w:val="Normal"/>
    <w:qFormat/>
    <w:pPr>
      <w:jc w:val="center"/>
    </w:pPr>
    <w:rPr>
      <w:smallCaps/>
      <w:sz w:val="28"/>
    </w:rPr>
  </w:style>
  <w:style w:type="paragraph" w:styleId="BodyText2">
    <w:name w:val="Body Text 2"/>
    <w:basedOn w:val="Normal"/>
    <w:qFormat/>
    <w:pPr>
      <w:spacing w:lineRule="auto" w:line="480"/>
    </w:pPr>
    <w:rPr>
      <w:sz w:val="26"/>
    </w:rPr>
  </w:style>
  <w:style w:type="paragraph" w:styleId="PlainText">
    <w:name w:val="Plain Text"/>
    <w:basedOn w:val="Normal"/>
    <w:qFormat/>
    <w:pPr/>
    <w:rPr>
      <w:rFonts w:ascii="Courier New" w:hAnsi="Courier New" w:cs="Courier New"/>
    </w:rPr>
  </w:style>
  <w:style w:type="paragraph" w:styleId="BlockText">
    <w:name w:val="Block Text"/>
    <w:basedOn w:val="Normal"/>
    <w:qFormat/>
    <w:pPr>
      <w:spacing w:before="0" w:after="240"/>
      <w:ind w:hanging="0" w:start="1440" w:end="144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nctimes.com/news/2001/20010711/103105.html"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Long FERC Pleading.dot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2001-10-01T17:54:00Z</dcterms:created>
  <dc:creator>HYM</dc:creator>
  <dc:description/>
  <dc:language>en-CA</dc:language>
  <cp:lastModifiedBy>jthome</cp:lastModifiedBy>
  <cp:lastPrinted>2001-09-17T10:17:00Z</cp:lastPrinted>
  <dcterms:modified xsi:type="dcterms:W3CDTF">2001-10-01T17:54:00Z</dcterms:modified>
  <cp:revision>2</cp:revision>
  <dc:subject/>
  <dc:title>FERC FILING PG&amp;E DOCKET NO. ER98-2351-000 BY HYM</dc:title>
</cp:coreProperties>
</file>