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SECURITY AND HUMAN RIGHTS VOLUNTARY PRINCIPLES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BACKGROUND</w:t>
      </w:r>
    </w:p>
    <w:p>
      <w:pPr>
        <w:pStyle w:val="Normal"/>
        <w:numPr>
          <w:ilvl w:val="0"/>
          <w:numId w:val="3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The U.S. State Department, British Foreign Commercial Office, Energy and Mining companies and human rights groups jointly developed </w:t>
      </w:r>
      <w:r>
        <w:rPr>
          <w:b/>
          <w:color w:val="000000"/>
          <w:sz w:val="24"/>
          <w:lang w:eastAsia="en-US"/>
        </w:rPr>
        <w:t xml:space="preserve">voluntary </w:t>
      </w:r>
      <w:r>
        <w:rPr>
          <w:color w:val="000000"/>
          <w:sz w:val="24"/>
          <w:lang w:eastAsia="en-US"/>
        </w:rPr>
        <w:t xml:space="preserve">principles aimed at preventing human rights violations stemming from corporate security arrangements. 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3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guidelines cover risk analysis, interactions between companies and public security and interaction between companies and private security.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4"/>
        </w:numPr>
        <w:rPr>
          <w:color w:val="000000"/>
          <w:sz w:val="24"/>
          <w:lang w:eastAsia="en-US"/>
        </w:rPr>
      </w:pPr>
      <w:r>
        <w:rPr>
          <w:sz w:val="24"/>
          <w:lang w:eastAsia="en-US"/>
        </w:rPr>
        <w:t xml:space="preserve">Participants include </w:t>
      </w:r>
      <w:r>
        <w:rPr>
          <w:b/>
          <w:sz w:val="24"/>
          <w:lang w:eastAsia="en-US"/>
        </w:rPr>
        <w:t>Enron,</w:t>
      </w:r>
      <w:r>
        <w:rPr>
          <w:sz w:val="24"/>
          <w:lang w:eastAsia="en-US"/>
        </w:rPr>
        <w:t xml:space="preserve"> Shell, BP, Chevron, Occidental, Freeport MacMoran, Texaco, Conoco, Rio Tinto, Human Rights Watch, Amnesty International, International Alert, Business for Social Responsibility, Prince of Wales Business Leaders Forum, </w:t>
      </w:r>
      <w:r>
        <w:rPr>
          <w:sz w:val="24"/>
        </w:rPr>
        <w:t>International Federation of Chemical, Energy, Mine and General Workers’ Union</w:t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2"/>
        </w:numPr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Participants wishing to endorse the principles should do so in writing by November 8. </w:t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2"/>
        </w:numPr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Secretary Albright and P.M.Cook will announce in a </w:t>
      </w:r>
      <w:r>
        <w:rPr>
          <w:b/>
          <w:color w:val="000000"/>
          <w:sz w:val="24"/>
          <w:lang w:eastAsia="en-US"/>
        </w:rPr>
        <w:t>low key</w:t>
      </w:r>
      <w:r>
        <w:rPr>
          <w:color w:val="000000"/>
          <w:sz w:val="24"/>
          <w:lang w:eastAsia="en-US"/>
        </w:rPr>
        <w:t xml:space="preserve"> fashion.  Fact sheets about the initiative, principles and signatories will be available to the public. </w:t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BENEFITS OF ADOPTING PRINCIPLES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Strengthens current Enron’s risk management and impact assessment procedures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Mitigates likelihood that human rights abuses will occur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Mitigates reputation impact should an incident occur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Reduces bottom line costs of incidents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Could help reduce direct costs of security (risk profile is reduced)</w:t>
      </w:r>
    </w:p>
    <w:p>
      <w:pPr>
        <w:pStyle w:val="Normal"/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>Demonstrates Enron’s commitment, leadership, and progress in preventing human rights abuses at operations (for those owned assets and joint ventures)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00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2000-10-25T19:53:00Z</dcterms:created>
  <dc:creator>lgoldbl</dc:creator>
  <dc:description/>
  <dc:language>en-CA</dc:language>
  <cp:lastModifiedBy>lgoldbl</cp:lastModifiedBy>
  <dcterms:modified xsi:type="dcterms:W3CDTF">2000-10-25T19:53:00Z</dcterms:modified>
  <cp:revision>2</cp:revision>
  <dc:subject/>
  <dc:title>BACKGROUND</dc:title>
</cp:coreProperties>
</file>