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BodyText"/>
        <w:rPr/>
      </w:pPr>
      <w:r>
        <w:rPr/>
        <w:t>As you know, your company is now able to trade with Enron North America Corp. and/or its Affiliates (“Enron”) via EnronOnline.</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We are writing to notify you that notwithstanding the references to master agreements contained in the EnronOnline Electronic Trading Agreement, any  transactions that you have entered into or will enter into with Enron via EnronOnline which might otherwise be governed by the following master agreements, will instead be governed by the applicable “online” contracts known as General Terms and Conditions (GTC):</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Master Firm Purchase and Sale agmt. effective 12/1/93</w:t>
      </w:r>
    </w:p>
    <w:p>
      <w:pPr>
        <w:pStyle w:val="Normal"/>
        <w:rPr>
          <w:rFonts w:ascii="Arial" w:hAnsi="Arial" w:cs="Arial"/>
          <w:sz w:val="24"/>
          <w:lang w:val="en-US"/>
        </w:rPr>
      </w:pPr>
      <w:r>
        <w:rPr>
          <w:rFonts w:cs="Arial" w:ascii="Arial" w:hAnsi="Arial"/>
          <w:sz w:val="24"/>
          <w:lang w:val="en-US"/>
        </w:rPr>
        <w:t>Master Interruptible Purchase and Sale agmt. effective 7/1/92</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By submitting a transaction request via EnronOnline for a product which would otherwise be covered by one of the above master agreements, you expressly acknowledge and agree that the applicable GTC will govern all relevant transactions that you enter into with Enron via EnronOnline.</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Sincerely,</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Enron North America Corp.</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1999-11-29T21:20:00Z</dcterms:created>
  <dc:creator>DFORSTER</dc:creator>
  <dc:description/>
  <dc:language>en-CA</dc:language>
  <cp:lastModifiedBy>DFORSTER</cp:lastModifiedBy>
  <dcterms:modified xsi:type="dcterms:W3CDTF">1999-11-29T21:40:00Z</dcterms:modified>
  <cp:revision>5</cp:revision>
  <dc:subject/>
  <dc:title>As you know, your company is now able to trade with Enron North America Corp</dc:title>
</cp:coreProperties>
</file>