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t>Dear [x}</w:t>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t>We are writing this letter to clarify an aspect of EnronOnline regarding the General Terms and Conditions which will apply.</w:t>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t>Before you will be able to transact, you may need to accept the General Terms and Conditions (GTC). This will be required in cases where the online GTC will supercede any master agreements which you may have with us for trades completed via EnronOnline or where you do not have an existing master agreement with Enron.</w:t>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t>By submitting a transaction request via EnronOnline for a product which would otherwise be covered by a previously executed master agreement, you expressly acknowledge and agree that the applicable GTC will govern all relevant transactions that you enter into with Enron via EnronOnline.</w:t>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t>Sincerely,</w:t>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t>Enron North America Corp.</w:t>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1999-11-29T22:53:00Z</dcterms:created>
  <dc:creator>DFORSTER</dc:creator>
  <dc:description/>
  <dc:language>en-CA</dc:language>
  <cp:lastModifiedBy>DFORSTER</cp:lastModifiedBy>
  <cp:lastPrinted>1999-11-30T01:11:00Z</cp:lastPrinted>
  <dcterms:modified xsi:type="dcterms:W3CDTF">1999-11-29T22:53:00Z</dcterms:modified>
  <cp:revision>2</cp:revision>
  <dc:subject/>
  <dc:title>As you know, your company is now able to trade with Enron North America Corp</dc:title>
</cp:coreProperties>
</file>