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18.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embeddings/oleObject1.bin" ContentType="application/vnd.openxmlformats-officedocument.oleObject"/>
  <Override PartName="/word/header25.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4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footer25.xml" ContentType="application/vnd.openxmlformats-officedocument.wordprocessingml.footer+xml"/>
  <Override PartName="/word/footer62.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header28.xml" ContentType="application/vnd.openxmlformats-officedocument.wordprocessingml.header+xml"/>
  <Override PartName="/word/footer22.xml" ContentType="application/vnd.openxmlformats-officedocument.wordprocessingml.footer+xml"/>
  <Override PartName="/word/_rels/header45.xml.rels" ContentType="application/vnd.openxmlformats-package.relationships+xml"/>
  <Override PartName="/word/_rels/header43.xml.rels" ContentType="application/vnd.openxmlformats-package.relationships+xml"/>
  <Override PartName="/word/_rels/header49.xml.rels" ContentType="application/vnd.openxmlformats-package.relationships+xml"/>
  <Override PartName="/word/_rels/document.xml.rels" ContentType="application/vnd.openxmlformats-package.relationships+xml"/>
  <Override PartName="/word/_rels/header51.xml.rels" ContentType="application/vnd.openxmlformats-package.relationships+xml"/>
  <Override PartName="/word/_rels/header11.xml.rels" ContentType="application/vnd.openxmlformats-package.relationships+xml"/>
  <Override PartName="/word/_rels/header19.xml.rels" ContentType="application/vnd.openxmlformats-package.relationships+xml"/>
  <Override PartName="/word/_rels/header21.xml.rels" ContentType="application/vnd.openxmlformats-package.relationships+xml"/>
  <Override PartName="/word/_rels/header57.xml.rels" ContentType="application/vnd.openxmlformats-package.relationships+xml"/>
  <Override PartName="/word/_rels/header1.xml.rels" ContentType="application/vnd.openxmlformats-package.relationships+xml"/>
  <Override PartName="/word/_rels/header5.xml.rels" ContentType="application/vnd.openxmlformats-package.relationships+xml"/>
  <Override PartName="/word/_rels/header25.xml.rels" ContentType="application/vnd.openxmlformats-package.relationships+xml"/>
  <Override PartName="/word/_rels/header17.xml.rels" ContentType="application/vnd.openxmlformats-package.relationships+xml"/>
  <Override PartName="/word/_rels/header7.xml.rels" ContentType="application/vnd.openxmlformats-package.relationships+xml"/>
  <Override PartName="/word/_rels/header53.xml.rels" ContentType="application/vnd.openxmlformats-package.relationships+xml"/>
  <Override PartName="/word/_rels/header55.xml.rels" ContentType="application/vnd.openxmlformats-package.relationships+xml"/>
  <Override PartName="/word/_rels/header59.xml.rels" ContentType="application/vnd.openxmlformats-package.relationships+xml"/>
  <Override PartName="/word/_rels/header23.xml.rels" ContentType="application/vnd.openxmlformats-package.relationships+xml"/>
  <Override PartName="/word/_rels/header15.xml.rels" ContentType="application/vnd.openxmlformats-package.relationships+xml"/>
  <Override PartName="/word/_rels/header27.xml.rels" ContentType="application/vnd.openxmlformats-package.relationships+xml"/>
  <Override PartName="/word/_rels/header3.xml.rels" ContentType="application/vnd.openxmlformats-package.relationships+xml"/>
  <Override PartName="/word/_rels/header13.xml.rels" ContentType="application/vnd.openxmlformats-package.relationships+xml"/>
  <Override PartName="/word/_rels/header47.xml.rels" ContentType="application/vnd.openxmlformats-package.relationships+xml"/>
  <Override PartName="/word/_rels/header29.xml.rels" ContentType="application/vnd.openxmlformats-package.relationships+xml"/>
  <Override PartName="/word/_rels/header31.xml.rels" ContentType="application/vnd.openxmlformats-package.relationships+xml"/>
  <Override PartName="/word/_rels/header9.xml.rels" ContentType="application/vnd.openxmlformats-package.relationships+xml"/>
  <Override PartName="/word/_rels/header33.xml.rels" ContentType="application/vnd.openxmlformats-package.relationships+xml"/>
  <Override PartName="/word/_rels/header35.xml.rels" ContentType="application/vnd.openxmlformats-package.relationships+xml"/>
  <Override PartName="/word/_rels/header37.xml.rels" ContentType="application/vnd.openxmlformats-package.relationships+xml"/>
  <Override PartName="/word/_rels/header39.xml.rels" ContentType="application/vnd.openxmlformats-package.relationships+xml"/>
  <Override PartName="/word/_rels/header41.xml.rels" ContentType="application/vnd.openxmlformats-package.relationships+xml"/>
  <Override PartName="/word/header59.xml" ContentType="application/vnd.openxmlformats-officedocument.wordprocessingml.head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header24.xml" ContentType="application/vnd.openxmlformats-officedocument.wordprocessingml.header+xml"/>
  <Override PartName="/word/footer1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23.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media/image29.wmf" ContentType="image/x-wmf"/>
  <Override PartName="/word/media/image28.wmf" ContentType="image/x-wmf"/>
  <Override PartName="/word/media/image27.wmf" ContentType="image/x-wmf"/>
  <Override PartName="/word/media/image26.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25.wmf" ContentType="image/x-wmf"/>
  <Override PartName="/word/media/image2.jpeg" ContentType="image/jpeg"/>
  <Override PartName="/word/media/image18.wmf" ContentType="image/x-wmf"/>
  <Override PartName="/word/media/image14.wmf" ContentType="image/x-wmf"/>
  <Override PartName="/word/media/image5.wmf" ContentType="image/x-wmf"/>
  <Override PartName="/word/media/image37.wmf" ContentType="image/x-wmf"/>
  <Override PartName="/word/media/image15.wmf" ContentType="image/x-wmf"/>
  <Override PartName="/word/media/image6.wmf" ContentType="image/x-wmf"/>
  <Override PartName="/word/media/image38.wmf" ContentType="image/x-wmf"/>
  <Override PartName="/word/media/image13.wmf" ContentType="image/x-wmf"/>
  <Override PartName="/word/media/image36.wmf" ContentType="image/x-wmf"/>
  <Override PartName="/word/media/image4.wmf" ContentType="image/x-wmf"/>
  <Override PartName="/word/media/image40.wmf" ContentType="image/x-wmf"/>
  <Override PartName="/word/media/image41.wmf" ContentType="image/x-wmf"/>
  <Override PartName="/word/media/image30.wmf" ContentType="image/x-wmf"/>
  <Override PartName="/word/media/image42.wmf" ContentType="image/x-wmf"/>
  <Override PartName="/word/media/image31.wmf" ContentType="image/x-wmf"/>
  <Override PartName="/word/media/image43.wmf" ContentType="image/x-wmf"/>
  <Override PartName="/word/media/image32.wmf" ContentType="image/x-wmf"/>
  <Override PartName="/word/media/image44.wmf" ContentType="image/x-wmf"/>
  <Override PartName="/word/media/image45.wmf" ContentType="image/x-wmf"/>
  <Override PartName="/word/media/image34.wmf" ContentType="image/x-wmf"/>
  <Override PartName="/word/media/image46.wmf" ContentType="image/x-wmf"/>
  <Override PartName="/word/media/image11.wmf" ContentType="image/x-wmf"/>
  <Override PartName="/word/media/image9.wmf" ContentType="image/x-wmf"/>
  <Override PartName="/word/media/image20.wmf" ContentType="image/x-wmf"/>
  <Override PartName="/word/media/image12.wmf" ContentType="image/x-wmf"/>
  <Override PartName="/word/media/image10.wmf" ContentType="image/x-wmf"/>
  <Override PartName="/word/media/image47.wmf" ContentType="image/x-wmf"/>
  <Override PartName="/word/media/image3.wmf" ContentType="image/x-wmf"/>
  <Override PartName="/word/media/image35.wmf" ContentType="image/x-wmf"/>
  <Override PartName="/word/media/image8.wmf" ContentType="image/x-wmf"/>
  <Override PartName="/word/media/image17.wmf" ContentType="image/x-wmf"/>
  <Override PartName="/word/media/image39.wmf" ContentType="image/x-wmf"/>
  <Override PartName="/word/media/image7.wmf" ContentType="image/x-wmf"/>
  <Override PartName="/word/media/image16.wmf" ContentType="image/x-wmf"/>
  <Override PartName="/word/media/image1.wmf" ContentType="image/x-wmf"/>
  <Override PartName="/word/media/image33.wmf" ContentType="image/x-wmf"/>
  <Override PartName="/word/footer8.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rPr/>
      </w:pPr>
      <w:r>
        <w:rPr/>
        <w:drawing>
          <wp:inline distT="0" distB="0" distL="0" distR="0">
            <wp:extent cx="1804670" cy="635000"/>
            <wp:effectExtent l="0" t="0" r="0" b="0"/>
            <wp:docPr id="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title=""/>
                    <pic:cNvPicPr>
                      <a:picLocks noChangeAspect="1" noChangeArrowheads="1"/>
                    </pic:cNvPicPr>
                  </pic:nvPicPr>
                  <pic:blipFill>
                    <a:blip r:embed="rId2"/>
                    <a:srcRect l="3220" t="-57" r="-19" b="-57"/>
                    <a:stretch>
                      <a:fillRect/>
                    </a:stretch>
                  </pic:blipFill>
                  <pic:spPr bwMode="auto">
                    <a:xfrm>
                      <a:off x="0" y="0"/>
                      <a:ext cx="1804670" cy="635000"/>
                    </a:xfrm>
                    <a:prstGeom prst="rect">
                      <a:avLst/>
                    </a:prstGeom>
                    <a:noFill/>
                  </pic:spPr>
                </pic:pic>
              </a:graphicData>
            </a:graphic>
          </wp:inline>
        </w:drawing>
      </w:r>
      <w:r>
        <w:rPr/>
        <w:tab/>
        <w:t>Credit Suisse first boston corporation</w:t>
      </w:r>
    </w:p>
    <w:tbl>
      <w:tblPr>
        <w:tblW w:w="9907" w:type="dxa"/>
        <w:jc w:val="start"/>
        <w:tblInd w:w="-2322" w:type="dxa"/>
        <w:tblLayout w:type="fixed"/>
        <w:tblCellMar>
          <w:top w:w="0" w:type="dxa"/>
          <w:start w:w="108" w:type="dxa"/>
          <w:bottom w:w="0" w:type="dxa"/>
          <w:end w:w="108" w:type="dxa"/>
        </w:tblCellMar>
      </w:tblPr>
      <w:tblGrid>
        <w:gridCol w:w="2434"/>
        <w:gridCol w:w="5962"/>
        <w:gridCol w:w="1426"/>
        <w:gridCol w:w="85"/>
      </w:tblGrid>
      <w:tr>
        <w:trPr/>
        <w:tc>
          <w:tcPr>
            <w:tcW w:w="9907" w:type="dxa"/>
            <w:gridSpan w:val="4"/>
            <w:tcBorders/>
            <w:shd w:fill="00FFFF" w:val="clear"/>
          </w:tcPr>
          <w:p>
            <w:pPr>
              <w:pStyle w:val="OfficeBar"/>
              <w:widowControl/>
              <w:bidi w:val="0"/>
              <w:spacing w:lineRule="exact" w:line="310" w:before="40" w:after="120"/>
              <w:ind w:hanging="0" w:start="2506" w:end="0"/>
              <w:rPr/>
            </w:pPr>
            <w:r>
              <w:rPr/>
              <w:t>Equity Research</w:t>
            </w:r>
          </w:p>
        </w:tc>
      </w:tr>
      <w:tr>
        <w:trPr/>
        <w:tc>
          <w:tcPr>
            <w:tcW w:w="2434" w:type="dxa"/>
            <w:tcBorders/>
            <w:tcMar>
              <w:start w:w="0" w:type="dxa"/>
              <w:end w:w="0" w:type="dxa"/>
            </w:tcMar>
          </w:tcPr>
          <w:p>
            <w:pPr>
              <w:pStyle w:val="Region"/>
              <w:widowControl/>
              <w:bidi w:val="0"/>
              <w:spacing w:before="120" w:after="0"/>
              <w:ind w:hanging="0" w:start="86" w:end="0"/>
              <w:rPr/>
            </w:pPr>
            <w:r>
              <w:rPr/>
              <w:t>Americas</w:t>
            </w:r>
          </w:p>
        </w:tc>
        <w:tc>
          <w:tcPr>
            <w:tcW w:w="5962" w:type="dxa"/>
            <w:tcBorders/>
            <w:tcMar>
              <w:start w:w="0" w:type="dxa"/>
              <w:end w:w="0" w:type="dxa"/>
            </w:tcMar>
          </w:tcPr>
          <w:p>
            <w:pPr>
              <w:pStyle w:val="Industry"/>
              <w:spacing w:before="120" w:after="0"/>
              <w:ind w:hanging="0" w:start="144" w:end="0"/>
              <w:rPr/>
            </w:pPr>
            <w:r>
              <w:rPr/>
              <w:t>U.S./Electric Utilities</w:t>
            </w:r>
          </w:p>
        </w:tc>
        <w:tc>
          <w:tcPr>
            <w:tcW w:w="1426" w:type="dxa"/>
            <w:tcBorders/>
            <w:tcMar>
              <w:start w:w="0" w:type="dxa"/>
              <w:end w:w="0" w:type="dxa"/>
            </w:tcMar>
          </w:tcPr>
          <w:p>
            <w:pPr>
              <w:pStyle w:val="IndustryDate"/>
              <w:spacing w:before="120" w:after="0"/>
              <w:ind w:hanging="0" w:start="0" w:end="0"/>
              <w:jc w:val="end"/>
              <w:rPr/>
            </w:pPr>
            <w:r>
              <w:rPr/>
              <w:t>January 05, 2000</w:t>
            </w:r>
          </w:p>
        </w:tc>
        <w:tc>
          <w:tcPr>
            <w:tcW w:w="85" w:type="dxa"/>
            <w:tcBorders/>
            <w:tcMar>
              <w:start w:w="0" w:type="dxa"/>
              <w:end w:w="0" w:type="dxa"/>
            </w:tcMar>
          </w:tcPr>
          <w:p>
            <w:pPr>
              <w:pStyle w:val="Normal"/>
              <w:snapToGrid w:val="false"/>
              <w:spacing w:before="0" w:after="120"/>
              <w:rPr/>
            </w:pPr>
            <w:r>
              <w:rPr/>
            </w:r>
          </w:p>
        </w:tc>
      </w:tr>
    </w:tbl>
    <w:p>
      <w:pPr>
        <w:pStyle w:val="Text"/>
        <w:pBdr>
          <w:bottom w:val="single" w:sz="6" w:space="1" w:color="000000"/>
        </w:pBdr>
        <w:spacing w:before="0" w:after="240"/>
        <w:ind w:start="-2347" w:end="-151"/>
        <w:jc w:val="both"/>
        <w:rPr/>
      </w:pPr>
      <w:r>
        <w:rPr>
          <w:rStyle w:val="Marker"/>
          <w:b w:val="false"/>
          <w:caps w:val="false"/>
          <w:smallCaps w:val="false"/>
          <w:vanish w:val="false"/>
        </w:rPr>
        <w:t>Do Not Delete This Line</w:t>
      </w:r>
    </w:p>
    <w:tbl>
      <w:tblPr>
        <w:tblW w:w="9879" w:type="dxa"/>
        <w:jc w:val="start"/>
        <w:tblInd w:w="-2430" w:type="dxa"/>
        <w:tblLayout w:type="fixed"/>
        <w:tblCellMar>
          <w:top w:w="0" w:type="dxa"/>
          <w:start w:w="0" w:type="dxa"/>
          <w:bottom w:w="0" w:type="dxa"/>
          <w:end w:w="0" w:type="dxa"/>
        </w:tblCellMar>
      </w:tblPr>
      <w:tblGrid>
        <w:gridCol w:w="2070"/>
        <w:gridCol w:w="2598"/>
        <w:gridCol w:w="12"/>
        <w:gridCol w:w="2586"/>
        <w:gridCol w:w="1619"/>
        <w:gridCol w:w="979"/>
        <w:gridCol w:w="15"/>
      </w:tblGrid>
      <w:tr>
        <w:trPr>
          <w:trHeight w:val="1040" w:hRule="atLeast"/>
        </w:trPr>
        <w:tc>
          <w:tcPr>
            <w:tcW w:w="2070" w:type="dxa"/>
            <w:vMerge w:val="restart"/>
            <w:tcBorders/>
          </w:tcPr>
          <w:p>
            <w:pPr>
              <w:pStyle w:val="Stamp3"/>
              <w:snapToGrid w:val="false"/>
              <w:spacing w:before="156" w:after="240"/>
              <w:rPr/>
            </w:pPr>
            <w:r>
              <w:rPr/>
            </w:r>
          </w:p>
        </w:tc>
        <w:tc>
          <w:tcPr>
            <w:tcW w:w="6815" w:type="dxa"/>
            <w:gridSpan w:val="4"/>
            <w:tcBorders/>
          </w:tcPr>
          <w:p>
            <w:pPr>
              <w:pStyle w:val="HeadTitle"/>
              <w:widowControl/>
              <w:bidi w:val="0"/>
              <w:spacing w:before="0" w:after="120"/>
              <w:ind w:hanging="0" w:start="72" w:end="-115"/>
              <w:rPr/>
            </w:pPr>
            <w:r>
              <w:rPr/>
              <w:t>The Emergence of the New Economy Electric</w:t>
            </w:r>
          </w:p>
        </w:tc>
        <w:tc>
          <w:tcPr>
            <w:tcW w:w="994" w:type="dxa"/>
            <w:vMerge w:val="restart"/>
            <w:tcBorders/>
          </w:tcPr>
          <w:p>
            <w:pPr>
              <w:pStyle w:val="Other"/>
              <w:snapToGrid w:val="false"/>
              <w:spacing w:before="156" w:after="0"/>
              <w:rPr/>
            </w:pPr>
            <w:r>
              <w:rPr/>
            </w:r>
          </w:p>
        </w:tc>
      </w:tr>
      <w:tr>
        <w:trPr>
          <w:trHeight w:val="551" w:hRule="atLeast"/>
        </w:trPr>
        <w:tc>
          <w:tcPr>
            <w:tcW w:w="2070" w:type="dxa"/>
            <w:vMerge w:val="continue"/>
            <w:tcBorders/>
          </w:tcPr>
          <w:p>
            <w:pPr>
              <w:pStyle w:val="Text"/>
              <w:snapToGrid w:val="false"/>
              <w:spacing w:before="0" w:after="120"/>
              <w:rPr/>
            </w:pPr>
            <w:r>
              <w:rPr/>
            </w:r>
          </w:p>
        </w:tc>
        <w:tc>
          <w:tcPr>
            <w:tcW w:w="6815" w:type="dxa"/>
            <w:gridSpan w:val="4"/>
            <w:tcBorders/>
          </w:tcPr>
          <w:p>
            <w:pPr>
              <w:pStyle w:val="Subtitle"/>
              <w:widowControl/>
              <w:bidi w:val="0"/>
              <w:spacing w:before="0" w:after="480"/>
              <w:ind w:hanging="0" w:start="130" w:end="-115"/>
              <w:rPr/>
            </w:pPr>
            <w:r>
              <w:rPr/>
              <w:t>A New Approach to Looking at an Old Industry</w:t>
            </w:r>
          </w:p>
        </w:tc>
        <w:tc>
          <w:tcPr>
            <w:tcW w:w="994" w:type="dxa"/>
            <w:vMerge w:val="continue"/>
            <w:tcBorders/>
          </w:tcPr>
          <w:p>
            <w:pPr>
              <w:pStyle w:val="Text"/>
              <w:snapToGrid w:val="false"/>
              <w:spacing w:before="0" w:after="120"/>
              <w:rPr/>
            </w:pPr>
            <w:r>
              <w:rPr/>
            </w:r>
          </w:p>
        </w:tc>
      </w:tr>
      <w:tr>
        <w:trPr>
          <w:trHeight w:val="773" w:hRule="atLeast"/>
        </w:trPr>
        <w:tc>
          <w:tcPr>
            <w:tcW w:w="2070" w:type="dxa"/>
            <w:vMerge w:val="restart"/>
            <w:tcBorders/>
          </w:tcPr>
          <w:p>
            <w:pPr>
              <w:pStyle w:val="Phone"/>
              <w:snapToGrid w:val="false"/>
              <w:rPr/>
            </w:pPr>
            <w:r>
              <w:rPr/>
            </w:r>
          </w:p>
          <w:p>
            <w:pPr>
              <w:pStyle w:val="Phone"/>
              <w:rPr>
                <w:b/>
              </w:rPr>
            </w:pPr>
            <w:r>
              <w:rPr>
                <w:b/>
              </w:rPr>
            </w:r>
          </w:p>
        </w:tc>
        <w:tc>
          <w:tcPr>
            <w:tcW w:w="2598" w:type="dxa"/>
            <w:tcBorders>
              <w:top w:val="single" w:sz="12" w:space="0" w:color="000000"/>
            </w:tcBorders>
          </w:tcPr>
          <w:p>
            <w:pPr>
              <w:pStyle w:val="Name"/>
              <w:keepNext w:val="true"/>
              <w:widowControl/>
              <w:bidi w:val="0"/>
              <w:spacing w:before="60" w:after="0"/>
              <w:ind w:hanging="0" w:start="-14" w:end="0"/>
              <w:rPr/>
            </w:pPr>
            <w:r>
              <w:rPr/>
              <w:t>Paul Patterson</w:t>
            </w:r>
            <w:r>
              <w:rPr>
                <w:b w:val="false"/>
              </w:rPr>
              <w:t xml:space="preserve"> </w:t>
              <w:br/>
              <w:t>1 212 325 5876</w:t>
            </w:r>
            <w:r>
              <w:rPr/>
              <w:br/>
              <w:t xml:space="preserve"> </w:t>
            </w:r>
            <w:r>
              <w:rPr>
                <w:b w:val="false"/>
              </w:rPr>
              <w:t>paul.patterson@csfb.com</w:t>
            </w:r>
          </w:p>
        </w:tc>
        <w:tc>
          <w:tcPr>
            <w:tcW w:w="2598" w:type="dxa"/>
            <w:gridSpan w:val="2"/>
            <w:tcBorders>
              <w:top w:val="single" w:sz="12" w:space="0" w:color="000000"/>
            </w:tcBorders>
          </w:tcPr>
          <w:p>
            <w:pPr>
              <w:pStyle w:val="Name"/>
              <w:keepNext w:val="true"/>
              <w:widowControl/>
              <w:bidi w:val="0"/>
              <w:spacing w:before="60" w:after="0"/>
              <w:ind w:hanging="0" w:start="-14" w:end="0"/>
              <w:rPr/>
            </w:pPr>
            <w:r>
              <w:rPr/>
              <w:t>Andrew Levi</w:t>
              <w:br/>
            </w:r>
            <w:r>
              <w:rPr>
                <w:b w:val="false"/>
              </w:rPr>
              <w:t>1 212 325 0893</w:t>
              <w:br/>
              <w:t>andrew.levi@csfb.com</w:t>
            </w:r>
          </w:p>
        </w:tc>
        <w:tc>
          <w:tcPr>
            <w:tcW w:w="2598" w:type="dxa"/>
            <w:gridSpan w:val="2"/>
            <w:tcBorders>
              <w:top w:val="single" w:sz="12" w:space="0" w:color="000000"/>
            </w:tcBorders>
          </w:tcPr>
          <w:p>
            <w:pPr>
              <w:pStyle w:val="Name"/>
              <w:keepNext w:val="true"/>
              <w:widowControl/>
              <w:bidi w:val="0"/>
              <w:spacing w:before="60" w:after="0"/>
              <w:ind w:hanging="0" w:start="-14" w:end="0"/>
              <w:rPr/>
            </w:pPr>
            <w:r>
              <w:rPr/>
              <w:t>Steven Parla, C.F.A</w:t>
            </w:r>
            <w:r>
              <w:rPr>
                <w:b w:val="false"/>
              </w:rPr>
              <w:t xml:space="preserve"> </w:t>
              <w:br/>
              <w:t>1 212 325 3145</w:t>
            </w:r>
            <w:r>
              <w:rPr/>
              <w:br/>
              <w:t xml:space="preserve"> </w:t>
            </w:r>
            <w:r>
              <w:rPr>
                <w:b w:val="false"/>
              </w:rPr>
              <w:t>steven.parla@csfb.com</w:t>
            </w:r>
          </w:p>
        </w:tc>
      </w:tr>
      <w:tr>
        <w:trPr>
          <w:trHeight w:val="615" w:hRule="atLeast"/>
        </w:trPr>
        <w:tc>
          <w:tcPr>
            <w:tcW w:w="2070" w:type="dxa"/>
            <w:vMerge w:val="continue"/>
            <w:tcBorders/>
          </w:tcPr>
          <w:p>
            <w:pPr>
              <w:pStyle w:val="Phone"/>
              <w:snapToGrid w:val="false"/>
              <w:rPr>
                <w:b/>
              </w:rPr>
            </w:pPr>
            <w:r>
              <w:rPr>
                <w:b/>
              </w:rPr>
            </w:r>
          </w:p>
        </w:tc>
        <w:tc>
          <w:tcPr>
            <w:tcW w:w="2610" w:type="dxa"/>
            <w:gridSpan w:val="2"/>
            <w:tcBorders>
              <w:bottom w:val="single" w:sz="12" w:space="0" w:color="000000"/>
            </w:tcBorders>
          </w:tcPr>
          <w:p>
            <w:pPr>
              <w:pStyle w:val="Name"/>
              <w:keepNext w:val="true"/>
              <w:widowControl/>
              <w:bidi w:val="0"/>
              <w:spacing w:before="60" w:after="0"/>
              <w:ind w:hanging="0" w:start="-14" w:end="0"/>
              <w:rPr/>
            </w:pPr>
            <w:r>
              <w:rPr/>
              <w:t>Neil Stein</w:t>
              <w:br/>
            </w:r>
            <w:r>
              <w:rPr>
                <w:b w:val="false"/>
              </w:rPr>
              <w:t>1 212 325 4217</w:t>
              <w:br/>
              <w:t>neil.stein@csfb.com</w:t>
            </w:r>
          </w:p>
        </w:tc>
        <w:tc>
          <w:tcPr>
            <w:tcW w:w="5184" w:type="dxa"/>
            <w:gridSpan w:val="3"/>
            <w:tcBorders>
              <w:bottom w:val="single" w:sz="12" w:space="0" w:color="000000"/>
            </w:tcBorders>
          </w:tcPr>
          <w:p>
            <w:pPr>
              <w:pStyle w:val="Name"/>
              <w:keepNext w:val="true"/>
              <w:widowControl/>
              <w:bidi w:val="0"/>
              <w:spacing w:before="60" w:after="0"/>
              <w:ind w:hanging="0" w:start="-14" w:end="0"/>
              <w:rPr/>
            </w:pPr>
            <w:r>
              <w:rPr/>
              <w:t>Andrea Klauber</w:t>
              <w:br/>
            </w:r>
            <w:r>
              <w:rPr>
                <w:b w:val="false"/>
              </w:rPr>
              <w:t>1 212 325 0084</w:t>
              <w:br/>
              <w:t>andrea.klauber@csfb.com</w:t>
            </w:r>
            <w:r>
              <w:rPr/>
              <w:t xml:space="preserve"> </w:t>
            </w:r>
          </w:p>
        </w:tc>
      </w:tr>
      <w:tr>
        <w:trPr>
          <w:trHeight w:val="1572" w:hRule="atLeast"/>
        </w:trPr>
        <w:tc>
          <w:tcPr>
            <w:tcW w:w="2070" w:type="dxa"/>
            <w:vMerge w:val="continue"/>
            <w:tcBorders/>
          </w:tcPr>
          <w:p>
            <w:pPr>
              <w:pStyle w:val="Phone"/>
              <w:snapToGrid w:val="false"/>
              <w:rPr/>
            </w:pPr>
            <w:r>
              <w:rPr/>
            </w:r>
          </w:p>
        </w:tc>
        <w:tc>
          <w:tcPr>
            <w:tcW w:w="7794" w:type="dxa"/>
            <w:gridSpan w:val="5"/>
            <w:tcBorders>
              <w:top w:val="single" w:sz="12" w:space="0" w:color="000000"/>
              <w:bottom w:val="single" w:sz="12" w:space="0" w:color="000000"/>
            </w:tcBorders>
          </w:tcPr>
          <w:p>
            <w:pPr>
              <w:pStyle w:val="GraphicSource"/>
              <w:spacing w:before="60" w:after="0"/>
              <w:jc w:val="center"/>
              <w:rPr/>
            </w:pPr>
            <w:r>
              <w:rPr/>
              <w:drawing>
                <wp:inline distT="0" distB="0" distL="0" distR="0">
                  <wp:extent cx="4859020" cy="992505"/>
                  <wp:effectExtent l="0" t="0" r="0" b="0"/>
                  <wp:docPr id="2" name="Slid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 descr="" title=""/>
                          <pic:cNvPicPr>
                            <a:picLocks noChangeAspect="1" noChangeArrowheads="1"/>
                          </pic:cNvPicPr>
                        </pic:nvPicPr>
                        <pic:blipFill>
                          <a:blip r:embed="rId3"/>
                          <a:srcRect l="12272" t="48907" r="9250" b="26877"/>
                          <a:stretch>
                            <a:fillRect/>
                          </a:stretch>
                        </pic:blipFill>
                        <pic:spPr bwMode="auto">
                          <a:xfrm>
                            <a:off x="0" y="0"/>
                            <a:ext cx="4859020" cy="992505"/>
                          </a:xfrm>
                          <a:prstGeom prst="rect">
                            <a:avLst/>
                          </a:prstGeom>
                          <a:noFill/>
                        </pic:spPr>
                      </pic:pic>
                    </a:graphicData>
                  </a:graphic>
                </wp:inline>
              </w:drawing>
            </w:r>
          </w:p>
        </w:tc>
      </w:tr>
      <w:tr>
        <w:trPr>
          <w:trHeight w:val="4211" w:hRule="atLeast"/>
        </w:trPr>
        <w:tc>
          <w:tcPr>
            <w:tcW w:w="2070" w:type="dxa"/>
            <w:vMerge w:val="continue"/>
            <w:tcBorders/>
          </w:tcPr>
          <w:p>
            <w:pPr>
              <w:pStyle w:val="Email"/>
              <w:snapToGrid w:val="false"/>
              <w:spacing w:before="0" w:after="120"/>
              <w:rPr>
                <w:b/>
              </w:rPr>
            </w:pPr>
            <w:r>
              <w:rPr>
                <w:b/>
              </w:rPr>
            </w:r>
          </w:p>
        </w:tc>
        <w:tc>
          <w:tcPr>
            <w:tcW w:w="7794" w:type="dxa"/>
            <w:gridSpan w:val="5"/>
            <w:tcBorders>
              <w:top w:val="single" w:sz="12" w:space="0" w:color="000000"/>
              <w:bottom w:val="single" w:sz="12" w:space="0" w:color="000000"/>
            </w:tcBorders>
          </w:tcPr>
          <w:p>
            <w:pPr>
              <w:pStyle w:val="Summary"/>
              <w:numPr>
                <w:ilvl w:val="0"/>
                <w:numId w:val="13"/>
              </w:numPr>
              <w:spacing w:before="60" w:after="60"/>
              <w:rPr>
                <w:b w:val="false"/>
              </w:rPr>
            </w:pPr>
            <w:r>
              <w:rPr>
                <w:b w:val="false"/>
              </w:rPr>
              <w:t xml:space="preserve">Knowledge drives value creation.  This simple concept has become a sacred mantra for the high-growth e-commerce industry, and one of the uncontested foundations for its evolution. </w:t>
            </w:r>
          </w:p>
          <w:p>
            <w:pPr>
              <w:pStyle w:val="Summary"/>
              <w:numPr>
                <w:ilvl w:val="0"/>
                <w:numId w:val="12"/>
              </w:numPr>
              <w:rPr>
                <w:b w:val="false"/>
              </w:rPr>
            </w:pPr>
            <w:r>
              <w:rPr>
                <w:b w:val="false"/>
              </w:rPr>
              <w:t>But how does this concept relate to the capital intensive, commodity-driven electric utility sector?  We contend that the ability to transition from a regulated, monopolistic utility to a knowledge-based, dynamic competitor will be precisely the factor that defines the industry leaders over the next few years.</w:t>
            </w:r>
          </w:p>
          <w:p>
            <w:pPr>
              <w:pStyle w:val="Summary"/>
              <w:numPr>
                <w:ilvl w:val="0"/>
                <w:numId w:val="12"/>
              </w:numPr>
              <w:rPr>
                <w:b w:val="false"/>
              </w:rPr>
            </w:pPr>
            <w:r>
              <w:rPr>
                <w:b w:val="false"/>
              </w:rPr>
              <w:t>Based on this view of the changes developing in the industry, which are driven primarily by deregulation, we have identified four tiers through which we see leaders emerging that will be able to unlock value from their existing and developing businesses, and outperform.</w:t>
            </w:r>
          </w:p>
          <w:p>
            <w:pPr>
              <w:pStyle w:val="Summary"/>
              <w:numPr>
                <w:ilvl w:val="0"/>
                <w:numId w:val="10"/>
              </w:numPr>
              <w:spacing w:before="60" w:after="60"/>
              <w:rPr/>
            </w:pPr>
            <w:r>
              <w:rPr>
                <w:b w:val="false"/>
              </w:rPr>
              <w:t xml:space="preserve">Within this structure, we have identified nine companies that are working towards a knowledge-based framework, and are taking on new economy characteristics: AES Corp., Calpine, Dominion Resources, Duke Energy, Edison International, NSTAR, PECO Energy, Reliant Energy, and Southern Company.  While most are currently in the build out phase of development, our value-based analysis supports our expectation that these strategies should drive above average earnings, return on capital and economic profit growth over the next five years. </w:t>
            </w:r>
          </w:p>
        </w:tc>
      </w:tr>
      <w:tr>
        <w:trPr>
          <w:trHeight w:val="50" w:hRule="atLeast"/>
        </w:trPr>
        <w:tc>
          <w:tcPr>
            <w:tcW w:w="2070" w:type="dxa"/>
            <w:vMerge w:val="continue"/>
            <w:tcBorders/>
          </w:tcPr>
          <w:p>
            <w:pPr>
              <w:pStyle w:val="Name"/>
              <w:snapToGrid w:val="false"/>
              <w:spacing w:before="60" w:after="0"/>
              <w:rPr/>
            </w:pPr>
            <w:r>
              <w:rPr/>
            </w:r>
          </w:p>
        </w:tc>
        <w:tc>
          <w:tcPr>
            <w:tcW w:w="7809" w:type="dxa"/>
            <w:gridSpan w:val="5"/>
            <w:tcBorders/>
          </w:tcPr>
          <w:p>
            <w:pPr>
              <w:pStyle w:val="Normal"/>
              <w:snapToGrid w:val="false"/>
              <w:spacing w:before="0" w:after="120"/>
              <w:rPr/>
            </w:pPr>
            <w:r>
              <w:rPr/>
            </w:r>
          </w:p>
        </w:tc>
      </w:tr>
    </w:tbl>
    <w:p>
      <w:pPr>
        <w:pStyle w:val="Text"/>
        <w:rPr/>
      </w:pPr>
      <w:r>
        <w:rPr/>
      </w:r>
    </w:p>
    <w:p>
      <w:pPr>
        <w:pStyle w:val="TableOfContents"/>
        <w:rPr/>
      </w:pPr>
      <w:r>
        <w:rPr/>
        <w:t>Table of Contents</w:t>
      </w:r>
    </w:p>
    <w:sdt>
      <w:sdtPr>
        <w:docPartObj>
          <w:docPartGallery w:val="Table of Contents"/>
          <w:docPartUnique w:val="true"/>
        </w:docPartObj>
      </w:sdtPr>
      <w:sdtContent>
        <w:p>
          <w:pPr>
            <w:pStyle w:val="TOC1"/>
            <w:keepNext w:val="true"/>
            <w:widowControl/>
            <w:suppressAutoHyphens w:val="true"/>
            <w:bidi w:val="0"/>
            <w:spacing w:before="120" w:after="0"/>
            <w:rPr>
              <w:lang w:val="en-CA"/>
            </w:rPr>
          </w:pPr>
          <w:r>
            <w:fldChar w:fldCharType="begin"/>
          </w:r>
          <w:r>
            <w:rPr>
              <w:sz w:val="20"/>
              <w:b/>
              <w:szCs w:val="20"/>
              <w:rFonts w:eastAsia="Times New Roman" w:cs="Arial"/>
              <w:color w:val="auto"/>
              <w:lang w:val="en-CA"/>
            </w:rPr>
            <w:instrText xml:space="preserve"> TOC \o "1-9" \t "Head1,1" </w:instrText>
          </w:r>
          <w:r>
            <w:rPr>
              <w:sz w:val="20"/>
              <w:b/>
              <w:szCs w:val="20"/>
              <w:rFonts w:eastAsia="Times New Roman" w:cs="Arial"/>
              <w:color w:val="auto"/>
              <w:lang w:val="en-CA"/>
            </w:rPr>
            <w:fldChar w:fldCharType="separate"/>
          </w:r>
          <w:r>
            <w:rPr>
              <w:rFonts w:eastAsia="Times New Roman" w:cs="Arial"/>
              <w:b/>
              <w:color w:val="auto"/>
              <w:sz w:val="20"/>
              <w:szCs w:val="20"/>
              <w:lang w:val="en-CA"/>
            </w:rPr>
            <w:t>Investment Summary</w:t>
            <w:tab/>
          </w:r>
          <w:hyperlink w:anchor="__RefHeading___Toc471702811">
            <w:r>
              <w:rPr>
                <w:rStyle w:val="IndexLink"/>
                <w:rFonts w:eastAsia="Times New Roman" w:cs="Arial"/>
                <w:b/>
                <w:color w:val="auto"/>
                <w:sz w:val="20"/>
                <w:szCs w:val="20"/>
                <w:lang w:val="en-CA"/>
              </w:rPr>
              <w:t>3</w:t>
            </w:r>
          </w:hyperlink>
        </w:p>
        <w:p>
          <w:pPr>
            <w:pStyle w:val="TOC1"/>
            <w:rPr>
              <w:lang w:val="en-CA"/>
            </w:rPr>
          </w:pPr>
          <w:r>
            <w:rPr>
              <w:lang w:val="en-CA"/>
            </w:rPr>
            <w:t>Application to the Electric Industry</w:t>
            <w:tab/>
          </w:r>
          <w:hyperlink w:anchor="__RefHeading___Toc471702812">
            <w:r>
              <w:rPr>
                <w:rStyle w:val="IndexLink"/>
                <w:lang w:val="en-CA"/>
              </w:rPr>
              <w:t>8</w:t>
            </w:r>
          </w:hyperlink>
        </w:p>
        <w:p>
          <w:pPr>
            <w:pStyle w:val="TOC1"/>
            <w:rPr>
              <w:lang w:val="en-CA"/>
            </w:rPr>
          </w:pPr>
          <w:r>
            <w:rPr>
              <w:lang w:val="en-CA"/>
            </w:rPr>
            <w:t>The Changes Occurring with New Economy Electrics</w:t>
            <w:tab/>
          </w:r>
          <w:hyperlink w:anchor="__RefHeading___Toc471702813">
            <w:r>
              <w:rPr>
                <w:rStyle w:val="IndexLink"/>
                <w:lang w:val="en-CA"/>
              </w:rPr>
              <w:t>10</w:t>
            </w:r>
          </w:hyperlink>
        </w:p>
        <w:p>
          <w:pPr>
            <w:pStyle w:val="TOC1"/>
            <w:rPr>
              <w:lang w:val="en-CA"/>
            </w:rPr>
          </w:pPr>
          <w:r>
            <w:rPr>
              <w:lang w:val="en-CA"/>
            </w:rPr>
            <w:t>Enron: The Optimal Case Study</w:t>
            <w:tab/>
          </w:r>
          <w:hyperlink w:anchor="__RefHeading___Toc471702814">
            <w:r>
              <w:rPr>
                <w:rStyle w:val="IndexLink"/>
                <w:lang w:val="en-CA"/>
              </w:rPr>
              <w:t>12</w:t>
            </w:r>
          </w:hyperlink>
        </w:p>
        <w:p>
          <w:pPr>
            <w:pStyle w:val="TOC1"/>
            <w:rPr>
              <w:lang w:val="en-CA"/>
            </w:rPr>
          </w:pPr>
          <w:r>
            <w:rPr>
              <w:lang w:val="en-CA"/>
            </w:rPr>
            <w:t>Valuation Metrics – ROIC Matters</w:t>
            <w:tab/>
          </w:r>
          <w:hyperlink w:anchor="__RefHeading___Toc471702815">
            <w:r>
              <w:rPr>
                <w:rStyle w:val="IndexLink"/>
                <w:lang w:val="en-CA"/>
              </w:rPr>
              <w:t>14</w:t>
            </w:r>
          </w:hyperlink>
        </w:p>
        <w:p>
          <w:pPr>
            <w:pStyle w:val="TOC1"/>
            <w:rPr>
              <w:lang w:val="en-CA"/>
            </w:rPr>
          </w:pPr>
          <w:r>
            <w:rPr>
              <w:lang w:val="en-CA"/>
            </w:rPr>
            <w:t>New Valuation Metrics Primer</w:t>
            <w:tab/>
          </w:r>
          <w:hyperlink w:anchor="__RefHeading___Toc471702816">
            <w:r>
              <w:rPr>
                <w:rStyle w:val="IndexLink"/>
                <w:lang w:val="en-CA"/>
              </w:rPr>
              <w:t>17</w:t>
            </w:r>
          </w:hyperlink>
        </w:p>
        <w:p>
          <w:pPr>
            <w:pStyle w:val="TOC1"/>
            <w:rPr>
              <w:lang w:val="en-CA"/>
            </w:rPr>
          </w:pPr>
          <w:r>
            <w:rPr>
              <w:lang w:val="en-CA"/>
            </w:rPr>
            <w:t xml:space="preserve">Valuation of the New Economy Electric Universe – Combining New with  Old </w:t>
            <w:tab/>
          </w:r>
          <w:hyperlink w:anchor="__RefHeading___Toc471702822">
            <w:r>
              <w:rPr>
                <w:rStyle w:val="IndexLink"/>
                <w:lang w:val="en-CA"/>
              </w:rPr>
              <w:t>21</w:t>
            </w:r>
          </w:hyperlink>
        </w:p>
        <w:p>
          <w:pPr>
            <w:pStyle w:val="TOC1"/>
            <w:rPr>
              <w:lang w:val="en-CA"/>
            </w:rPr>
          </w:pPr>
          <w:r>
            <w:rPr>
              <w:lang w:val="en-CA"/>
            </w:rPr>
            <w:t>Value Creation – A Relative Race</w:t>
            <w:tab/>
          </w:r>
          <w:hyperlink w:anchor="__RefHeading___Toc471702823">
            <w:r>
              <w:rPr>
                <w:rStyle w:val="IndexLink"/>
                <w:lang w:val="en-CA"/>
              </w:rPr>
              <w:t>22</w:t>
            </w:r>
          </w:hyperlink>
        </w:p>
        <w:p>
          <w:pPr>
            <w:pStyle w:val="TOC1"/>
            <w:rPr>
              <w:lang w:val="en-CA"/>
            </w:rPr>
          </w:pPr>
          <w:r>
            <w:rPr>
              <w:lang w:val="en-CA"/>
            </w:rPr>
            <w:t>PECO Energy</w:t>
            <w:tab/>
          </w:r>
          <w:hyperlink w:anchor="__RefHeading___Toc471702824">
            <w:r>
              <w:rPr>
                <w:rStyle w:val="IndexLink"/>
                <w:lang w:val="en-CA"/>
              </w:rPr>
              <w:t>23</w:t>
            </w:r>
          </w:hyperlink>
        </w:p>
        <w:p>
          <w:pPr>
            <w:pStyle w:val="TOC1"/>
            <w:rPr>
              <w:lang w:val="en-CA"/>
            </w:rPr>
          </w:pPr>
          <w:r>
            <w:rPr>
              <w:lang w:val="en-CA"/>
            </w:rPr>
            <w:t>Duke Energy</w:t>
            <w:tab/>
          </w:r>
          <w:hyperlink w:anchor="__RefHeading___Toc471702825">
            <w:r>
              <w:rPr>
                <w:rStyle w:val="IndexLink"/>
                <w:lang w:val="en-CA"/>
              </w:rPr>
              <w:t>27</w:t>
            </w:r>
          </w:hyperlink>
        </w:p>
        <w:p>
          <w:pPr>
            <w:pStyle w:val="TOC1"/>
            <w:rPr>
              <w:lang w:val="en-CA"/>
            </w:rPr>
          </w:pPr>
          <w:r>
            <w:rPr>
              <w:lang w:val="en-CA"/>
            </w:rPr>
            <w:t>Dominion Resources</w:t>
            <w:tab/>
          </w:r>
          <w:hyperlink w:anchor="__RefHeading___Toc471702826">
            <w:r>
              <w:rPr>
                <w:rStyle w:val="IndexLink"/>
                <w:lang w:val="en-CA"/>
              </w:rPr>
              <w:t>31</w:t>
            </w:r>
          </w:hyperlink>
        </w:p>
        <w:p>
          <w:pPr>
            <w:pStyle w:val="TOC1"/>
            <w:rPr>
              <w:lang w:val="en-CA"/>
            </w:rPr>
          </w:pPr>
          <w:r>
            <w:rPr>
              <w:lang w:val="en-CA"/>
            </w:rPr>
            <w:t>Southern Company</w:t>
            <w:tab/>
          </w:r>
          <w:hyperlink w:anchor="__RefHeading___Toc471702827">
            <w:r>
              <w:rPr>
                <w:rStyle w:val="IndexLink"/>
                <w:lang w:val="en-CA"/>
              </w:rPr>
              <w:t>35</w:t>
            </w:r>
          </w:hyperlink>
        </w:p>
        <w:p>
          <w:pPr>
            <w:pStyle w:val="TOC1"/>
            <w:rPr>
              <w:lang w:val="en-CA"/>
            </w:rPr>
          </w:pPr>
          <w:r>
            <w:rPr>
              <w:lang w:val="en-CA"/>
            </w:rPr>
            <w:t>Edison International</w:t>
            <w:tab/>
          </w:r>
          <w:hyperlink w:anchor="__RefHeading___Toc471702828">
            <w:r>
              <w:rPr>
                <w:rStyle w:val="IndexLink"/>
                <w:lang w:val="en-CA"/>
              </w:rPr>
              <w:t>40</w:t>
            </w:r>
          </w:hyperlink>
        </w:p>
        <w:p>
          <w:pPr>
            <w:pStyle w:val="TOC1"/>
            <w:rPr>
              <w:lang w:val="en-CA"/>
            </w:rPr>
          </w:pPr>
          <w:r>
            <w:rPr>
              <w:lang w:val="en-CA"/>
            </w:rPr>
            <w:t>Reliant Energy</w:t>
            <w:tab/>
          </w:r>
          <w:hyperlink w:anchor="__RefHeading___Toc471702829">
            <w:r>
              <w:rPr>
                <w:rStyle w:val="IndexLink"/>
                <w:lang w:val="en-CA"/>
              </w:rPr>
              <w:t>43</w:t>
            </w:r>
          </w:hyperlink>
        </w:p>
        <w:p>
          <w:pPr>
            <w:pStyle w:val="TOC1"/>
            <w:rPr>
              <w:lang w:val="en-CA"/>
            </w:rPr>
          </w:pPr>
          <w:r>
            <w:rPr>
              <w:lang w:val="en-CA"/>
            </w:rPr>
            <w:t>AES Corp.</w:t>
            <w:tab/>
          </w:r>
          <w:hyperlink w:anchor="__RefHeading___Toc471702830">
            <w:r>
              <w:rPr>
                <w:rStyle w:val="IndexLink"/>
                <w:lang w:val="en-CA"/>
              </w:rPr>
              <w:t>47</w:t>
            </w:r>
          </w:hyperlink>
        </w:p>
        <w:p>
          <w:pPr>
            <w:pStyle w:val="TOC1"/>
            <w:rPr>
              <w:lang w:val="en-CA"/>
            </w:rPr>
          </w:pPr>
          <w:r>
            <w:rPr>
              <w:lang w:val="en-CA"/>
            </w:rPr>
            <w:t>Calpine</w:t>
            <w:tab/>
          </w:r>
          <w:hyperlink w:anchor="__RefHeading___Toc471702831">
            <w:r>
              <w:rPr>
                <w:rStyle w:val="IndexLink"/>
                <w:lang w:val="en-CA"/>
              </w:rPr>
              <w:t>50</w:t>
            </w:r>
          </w:hyperlink>
        </w:p>
        <w:p>
          <w:pPr>
            <w:pStyle w:val="TOC1"/>
            <w:rPr>
              <w:lang w:val="en-CA"/>
            </w:rPr>
          </w:pPr>
          <w:r>
            <w:rPr>
              <w:lang w:val="en-CA"/>
            </w:rPr>
            <w:t>NSTAR</w:t>
            <w:tab/>
          </w:r>
          <w:hyperlink w:anchor="__RefHeading___Toc471702832">
            <w:r>
              <w:rPr>
                <w:rStyle w:val="IndexLink"/>
                <w:lang w:val="en-CA"/>
              </w:rPr>
              <w:t>53</w:t>
            </w:r>
          </w:hyperlink>
        </w:p>
        <w:p>
          <w:pPr>
            <w:pStyle w:val="TOC1"/>
            <w:rPr>
              <w:lang w:val="en-CA"/>
            </w:rPr>
          </w:pPr>
          <w:r>
            <w:rPr>
              <w:lang w:val="en-CA"/>
            </w:rPr>
            <w:t>Utilities</w:t>
            <w:tab/>
          </w:r>
          <w:hyperlink w:anchor="__RefHeading___Toc471702833">
            <w:r>
              <w:rPr>
                <w:rStyle w:val="IndexLink"/>
                <w:lang w:val="en-CA"/>
              </w:rPr>
              <w:t>56</w:t>
            </w:r>
          </w:hyperlink>
          <w:r>
            <w:rPr>
              <w:rStyle w:val="IndexLink"/>
              <w:lang w:val="en-CA"/>
            </w:rPr>
            <w:fldChar w:fldCharType="end"/>
          </w:r>
        </w:p>
      </w:sdtContent>
    </w:sdt>
    <w:p>
      <w:pPr>
        <w:pStyle w:val="Text"/>
        <w:rPr>
          <w:lang w:val="en-CA"/>
        </w:rPr>
      </w:pPr>
      <w:r>
        <w:rPr>
          <w:lang w:val="en-CA"/>
        </w:rPr>
      </w:r>
    </w:p>
    <w:p>
      <w:pPr>
        <w:pStyle w:val="Text"/>
        <w:rPr/>
      </w:pPr>
      <w:r>
        <w:rPr/>
      </w:r>
    </w:p>
    <w:p>
      <w:pPr>
        <w:pStyle w:val="Head1"/>
        <w:rPr/>
      </w:pPr>
      <w:bookmarkStart w:id="0" w:name="__RefHeading___Toc471702811"/>
      <w:bookmarkEnd w:id="0"/>
      <w:r>
        <w:rPr/>
        <w:t>Investment Summary</w:t>
      </w:r>
    </w:p>
    <w:p>
      <w:pPr>
        <w:pStyle w:val="Text"/>
        <w:rPr/>
      </w:pPr>
      <w:r>
        <w:rPr/>
        <w:t xml:space="preserve">Knowledge drives value creation.  This simple concept has become a sacred mantra for the high-growth e-commerce industry, and one of the uncontested foundations for its evolution. </w:t>
      </w:r>
    </w:p>
    <w:p>
      <w:pPr>
        <w:pStyle w:val="Text"/>
        <w:rPr/>
      </w:pPr>
      <w:r>
        <w:rPr/>
        <w:t>But how does this concept relate to the capital intensive, commodity-driven electric utility sector?  We contend that the ability to transition from a regulated, monopolistic utility to a knowledge-based, dynamic competitor will be precisely the factor that defines the industry leaders over the next few years.</w:t>
      </w:r>
    </w:p>
    <w:p>
      <w:pPr>
        <w:pStyle w:val="Text"/>
        <w:rPr/>
      </w:pPr>
      <w:r>
        <w:rPr/>
        <w:t xml:space="preserve">This evolution is being driven, to a large extent, by the pending deregulation of the generation segment of the industry. The industry is changing from an environment where returns were set equal to a utility’s cost of capital.  As the stability of a regulated return is eliminated, the need for a new strategy through which at least equal, if not greater returns are generated is one of the key focus points for management.  For the first time, utilities can utilize their skill sets as a vehicle to unlock greater value from existing assets.  In response, some companies have embarked on strategies that, relative to their peers, have given them new economy characteristics. </w:t>
      </w:r>
    </w:p>
    <w:p>
      <w:pPr>
        <w:pStyle w:val="Text"/>
        <w:rPr/>
      </w:pPr>
      <w:r>
        <w:rPr/>
        <w:t>The fall of regulatory barriers will result in a number of profound changes in the industry that will create opportunities for the strong and threats for the weak, which should lead to a winner-takes-all mentality in some segments of the business.</w:t>
      </w:r>
      <w:r>
        <w:rPr>
          <w:b/>
        </w:rPr>
        <w:t xml:space="preserve"> </w:t>
      </w:r>
    </w:p>
    <w:p>
      <w:pPr>
        <w:pStyle w:val="Text"/>
        <w:rPr/>
      </w:pPr>
      <w:r>
        <w:rPr/>
        <w:t xml:space="preserve">We have identified nine companies that are working towards a knowledge-based framework, and should excel in the changing sector environment.  While most are currently in the build out phase of development, our value-based analysis supports our expectation that these strategies should drive above average earnings, ROIC and economic profit growth over the next five years.  </w:t>
      </w:r>
    </w:p>
    <w:p>
      <w:pPr>
        <w:pStyle w:val="Text"/>
        <w:rPr/>
      </w:pPr>
      <w:r>
        <w:rPr/>
        <w:t xml:space="preserve">These nine companies are: AES Corp., Calpine, Dominion Resources, Duke Energy, Edison International, NSTAR, PECO Energy, Reliant Energy, and Southern Company.  Based on our analysis of the strategies being employed by these companies, we are raising our recommendations on Duke Energy, PECO Energy, Southern Company, Reliant Energy and Dominion Resources to a Strong Buy from a Buy.  We are maintaining our Strong Buy recommendation on Calpine, and our Buy recommendations on Edison International, AES and NSTAR. </w:t>
      </w:r>
      <w:r>
        <mc:AlternateContent>
          <mc:Choice Requires="wps">
            <w:drawing>
              <wp:anchor behindDoc="0" distT="118745" distB="118745" distL="118745" distR="118745" simplePos="0" locked="0" layoutInCell="0" allowOverlap="1" relativeHeight="4">
                <wp:simplePos x="0" y="0"/>
                <wp:positionH relativeFrom="page">
                  <wp:posOffset>915035</wp:posOffset>
                </wp:positionH>
                <wp:positionV relativeFrom="paragraph">
                  <wp:posOffset>635</wp:posOffset>
                </wp:positionV>
                <wp:extent cx="1261745" cy="1174750"/>
                <wp:effectExtent l="0" t="0" r="0" b="0"/>
                <wp:wrapSquare wrapText="bothSides"/>
                <wp:docPr id="3" name="Frame1"/>
                <a:graphic xmlns:a="http://schemas.openxmlformats.org/drawingml/2006/main">
                  <a:graphicData uri="http://schemas.microsoft.com/office/word/2010/wordprocessingShape">
                    <wps:wsp>
                      <wps:cNvSpPr txBox="1"/>
                      <wps:spPr>
                        <a:xfrm>
                          <a:off x="0" y="0"/>
                          <a:ext cx="1261745" cy="1174750"/>
                        </a:xfrm>
                        <a:prstGeom prst="rect"/>
                        <a:solidFill>
                          <a:srgbClr val="FFFFFF">
                            <a:alpha val="0"/>
                          </a:srgbClr>
                        </a:solidFill>
                      </wps:spPr>
                      <wps:txbx>
                        <w:txbxContent>
                          <w:p>
                            <w:pPr>
                              <w:pStyle w:val="HangingText"/>
                              <w:keepNext w:val="true"/>
                              <w:spacing w:before="10" w:after="120"/>
                              <w:jc w:val="start"/>
                              <w:rPr/>
                            </w:pPr>
                            <w:r>
                              <w:rPr/>
                              <w:t>The companies that we believe are most effectively implementing new economy strategies are AES, CPN, D, DUK, EIX, NST, PE, REI, and SO.</w:t>
                            </w:r>
                          </w:p>
                        </w:txbxContent>
                      </wps:txbx>
                      <wps:bodyPr anchor="t" lIns="0" tIns="0" rIns="0" bIns="0">
                        <a:noAutofit/>
                      </wps:bodyPr>
                    </wps:wsp>
                  </a:graphicData>
                </a:graphic>
              </wp:anchor>
            </w:drawing>
          </mc:Choice>
          <mc:Fallback>
            <w:pict>
              <v:rect fillcolor="#FFFFFF" style="position:absolute;rotation:-0;width:99.35pt;height:92.5pt;mso-wrap-distance-left:9.35pt;mso-wrap-distance-right:9.35pt;mso-wrap-distance-top:9.35pt;mso-wrap-distance-bottom:9.35pt;margin-top:0.05pt;mso-position-vertical-relative:text;margin-left:72.05pt;mso-position-horizontal-relative:page">
                <v:fill opacity="0f"/>
                <v:textbox inset="0in,0in,0in,0in">
                  <w:txbxContent>
                    <w:p>
                      <w:pPr>
                        <w:pStyle w:val="HangingText"/>
                        <w:keepNext w:val="true"/>
                        <w:spacing w:before="10" w:after="120"/>
                        <w:jc w:val="start"/>
                        <w:rPr/>
                      </w:pPr>
                      <w:r>
                        <w:rPr/>
                        <w:t>The companies that we believe are most effectively implementing new economy strategies are AES, CPN, D, DUK, EIX, NST, PE, REI, and SO.</w:t>
                      </w:r>
                    </w:p>
                  </w:txbxContent>
                </v:textbox>
                <w10:wrap type="square"/>
              </v:rect>
            </w:pict>
          </mc:Fallback>
        </mc:AlternateContent>
      </w:r>
    </w:p>
    <w:p>
      <w:pPr>
        <w:pStyle w:val="Text"/>
        <w:rPr/>
      </w:pPr>
      <w:r>
        <w:rPr/>
        <w:t>This is the first of a series of pieces that will highlight industry changes and developments. Some of the more important issues that will decide the winners and losers in this race will be:</w:t>
      </w:r>
    </w:p>
    <w:p>
      <w:pPr>
        <w:pStyle w:val="Text"/>
        <w:numPr>
          <w:ilvl w:val="0"/>
          <w:numId w:val="14"/>
        </w:numPr>
        <w:rPr/>
      </w:pPr>
      <w:r>
        <w:rPr/>
        <w:t>Knowledge based assets as a competitive advantage</w:t>
      </w:r>
    </w:p>
    <w:p>
      <w:pPr>
        <w:pStyle w:val="Text"/>
        <w:numPr>
          <w:ilvl w:val="0"/>
          <w:numId w:val="14"/>
        </w:numPr>
        <w:rPr/>
      </w:pPr>
      <w:r>
        <w:rPr/>
        <w:t>Changing organizational structures</w:t>
      </w:r>
    </w:p>
    <w:p>
      <w:pPr>
        <w:pStyle w:val="Text"/>
        <w:numPr>
          <w:ilvl w:val="0"/>
          <w:numId w:val="14"/>
        </w:numPr>
        <w:rPr/>
      </w:pPr>
      <w:r>
        <w:rPr/>
        <w:t>Shifting value drivers - from 'old economy' metrics to 'new economy' metrics</w:t>
      </w:r>
    </w:p>
    <w:p>
      <w:pPr>
        <w:pStyle w:val="Text"/>
        <w:rPr/>
      </w:pPr>
      <w:r>
        <w:rPr/>
        <w:t xml:space="preserve">We note that in light of the changes going on in the industry, old valuation metrics are becoming less appropriate tools in examining the true economics of the sector.  In particular, GAAP earnings are becoming less useful as a stand-alone metric. Many utilities are currently drawing substantial amounts of cash out of their existing assets during the transition to competition.  The manner in which this cash is being deployed is a significant issue, and brings into question the sustainability of earnings growth.  In particular, the increasing frequency of share buybacks and debt paydowns as a source of earnings growth have led to a growing divergence in the sources of EPS growth, which therefore needs to be analyzed more carefully. </w:t>
      </w:r>
      <w:r>
        <mc:AlternateContent>
          <mc:Choice Requires="wps">
            <w:drawing>
              <wp:anchor behindDoc="0" distT="118745" distB="118745" distL="118745" distR="118745" simplePos="0" locked="0" layoutInCell="0" allowOverlap="1" relativeHeight="5">
                <wp:simplePos x="0" y="0"/>
                <wp:positionH relativeFrom="page">
                  <wp:posOffset>915035</wp:posOffset>
                </wp:positionH>
                <wp:positionV relativeFrom="paragraph">
                  <wp:posOffset>635</wp:posOffset>
                </wp:positionV>
                <wp:extent cx="1261745" cy="1320800"/>
                <wp:effectExtent l="0" t="0" r="0" b="0"/>
                <wp:wrapSquare wrapText="bothSides"/>
                <wp:docPr id="4" name="Frame2"/>
                <a:graphic xmlns:a="http://schemas.openxmlformats.org/drawingml/2006/main">
                  <a:graphicData uri="http://schemas.microsoft.com/office/word/2010/wordprocessingShape">
                    <wps:wsp>
                      <wps:cNvSpPr txBox="1"/>
                      <wps:spPr>
                        <a:xfrm>
                          <a:off x="0" y="0"/>
                          <a:ext cx="1261745" cy="1320800"/>
                        </a:xfrm>
                        <a:prstGeom prst="rect"/>
                        <a:solidFill>
                          <a:srgbClr val="FFFFFF">
                            <a:alpha val="0"/>
                          </a:srgbClr>
                        </a:solidFill>
                      </wps:spPr>
                      <wps:txbx>
                        <w:txbxContent>
                          <w:p>
                            <w:pPr>
                              <w:pStyle w:val="HangingText"/>
                              <w:keepNext w:val="true"/>
                              <w:spacing w:before="10" w:after="120"/>
                              <w:jc w:val="start"/>
                              <w:rPr/>
                            </w:pPr>
                            <w:r>
                              <w:rPr/>
                              <w:t>ROIC provides additional insight into the sustainability and sources of economic growth, going a step beyond accounting earnings.</w:t>
                            </w:r>
                          </w:p>
                        </w:txbxContent>
                      </wps:txbx>
                      <wps:bodyPr anchor="t" lIns="0" tIns="0" rIns="0" bIns="0">
                        <a:noAutofit/>
                      </wps:bodyPr>
                    </wps:wsp>
                  </a:graphicData>
                </a:graphic>
              </wp:anchor>
            </w:drawing>
          </mc:Choice>
          <mc:Fallback>
            <w:pict>
              <v:rect fillcolor="#FFFFFF" style="position:absolute;rotation:-0;width:99.35pt;height:104pt;mso-wrap-distance-left:9.35pt;mso-wrap-distance-right:9.35pt;mso-wrap-distance-top:9.35pt;mso-wrap-distance-bottom:9.35pt;margin-top:0.05pt;mso-position-vertical-relative:text;margin-left:72.05pt;mso-position-horizontal-relative:page">
                <v:fill opacity="0f"/>
                <v:textbox inset="0in,0in,0in,0in">
                  <w:txbxContent>
                    <w:p>
                      <w:pPr>
                        <w:pStyle w:val="HangingText"/>
                        <w:keepNext w:val="true"/>
                        <w:spacing w:before="10" w:after="120"/>
                        <w:jc w:val="start"/>
                        <w:rPr/>
                      </w:pPr>
                      <w:r>
                        <w:rPr/>
                        <w:t>ROIC provides additional insight into the sustainability and sources of economic growth, going a step beyond accounting earnings.</w:t>
                      </w:r>
                    </w:p>
                  </w:txbxContent>
                </v:textbox>
                <w10:wrap type="square"/>
              </v:rect>
            </w:pict>
          </mc:Fallback>
        </mc:AlternateContent>
      </w:r>
    </w:p>
    <w:p>
      <w:pPr>
        <w:pStyle w:val="Text"/>
        <w:rPr/>
      </w:pPr>
      <w:r>
        <w:rPr/>
        <w:t xml:space="preserve">As a result, return on invested capital (ROIC) is becoming increasingly meaningful in this analysis. Given the emergence of competition, ROIC provides insight into the operating and capital efficiency of a company’s earnings, and speaks to the sustainability of earnings growth.  ROIC isolates the effects of financial engineering and shifts the focus to the generation of ongoing, operating income.  Therefore, the economic benefits created by information technology and economies of scale, as well as the ability of management to innovate and create new revenue sources from their existing capital base become more apparent and measurable.  </w:t>
      </w:r>
    </w:p>
    <w:p>
      <w:pPr>
        <w:pStyle w:val="Text"/>
        <w:rPr/>
      </w:pPr>
      <w:r>
        <w:rPr/>
        <w:t>The regulatory and economic changes that the power sector is currently undergoing and the many qualitative and quantitative repercussions that ensue are discussed at length in this report.  We believe that among the individual responses that each company has made in anticipation of these changes, a small number of strategies stand out.  These strategies combine the knowledge gained through years of experience, foresight, and the skill to optimize this knowledge in a competitive environment.  These companies, which we refer to as “new economy electrics,” are poised to emerge as the industry leaders that should capture market share at an accelerating pace over the next few years.</w:t>
      </w:r>
      <w:r>
        <w:br w:type="page"/>
      </w:r>
    </w:p>
    <w:p>
      <w:pPr>
        <w:pStyle w:val="Head2"/>
        <w:rPr/>
      </w:pPr>
      <w:r>
        <w:rPr/>
        <w:t>The Changing Power Sector – Historical Perspective</w:t>
      </w:r>
    </w:p>
    <w:p>
      <w:pPr>
        <w:pStyle w:val="Text"/>
        <w:rPr/>
      </w:pPr>
      <w:r>
        <w:rPr/>
        <w:t xml:space="preserve">In the past, the electric utility sector was comprised of regional monopolies that had no opportunity to compete; under this market structure, customers were held captive by the incumbent utility that served their area.  Management, in many cases, had limited incentive to strive for cost efficiencies, because the typical regulatory mandate required that fuel and operating cost reductions be passed through as savings to customers.  </w:t>
      </w:r>
    </w:p>
    <w:p>
      <w:pPr>
        <w:pStyle w:val="Text"/>
        <w:rPr/>
      </w:pPr>
      <w:r>
        <w:rPr/>
        <w:t>We see three principal consequences that resulted from these economic parameters:</w:t>
      </w:r>
    </w:p>
    <w:p>
      <w:pPr>
        <w:pStyle w:val="Text"/>
        <w:rPr/>
      </w:pPr>
      <w:r>
        <w:rPr>
          <w:rStyle w:val="Head4"/>
        </w:rPr>
        <w:t>Return Profile</w:t>
      </w:r>
      <w:r>
        <w:rPr>
          <w:color w:val="FFFFFF"/>
        </w:rPr>
        <w:t>—</w:t>
      </w:r>
      <w:r>
        <w:rPr>
          <w:color w:val="000000"/>
        </w:rPr>
        <w:t>The most important feature that dominated the economics of the industry historically was that return on equity was capped at a regulated level.  While in most industries we find that a company’s ability to earn superior returns is a primary element for success, in the old electric utility world, regulation limited returns to the weighted average cost of capital (WACC).  Excess returns were often viewed in many jursidictions as grounds for rate reductions, rather than indicating a sustainable trend.</w:t>
      </w:r>
    </w:p>
    <w:p>
      <w:pPr>
        <w:pStyle w:val="Text"/>
        <w:rPr/>
      </w:pPr>
      <w:r>
        <w:rPr>
          <w:rStyle w:val="Head4"/>
        </w:rPr>
        <w:t>The Role of Knowledge</w:t>
      </w:r>
      <w:r>
        <w:rPr>
          <w:color w:val="FFFFFF"/>
        </w:rPr>
        <w:t>—</w:t>
      </w:r>
      <w:r>
        <w:rPr>
          <w:color w:val="000000"/>
        </w:rPr>
        <w:t xml:space="preserve">Under the historical regulatory environment, knowledge played a fairly limited role in determining the success or failure of a utility.  Essentially, </w:t>
      </w:r>
      <w:r>
        <w:rPr/>
        <w:t>return profiles were driven by a return-on-rate-base mechanism. As long as regulators deemed that a utility’s capacity additions were prudent, their costs were recovered through rates. This regulatory regime provided incentives for many utilities to grow their returns though growth of their physical assets, in some cases with little regard to the market efficiencies of such assets. In other words, because returns were capped at a certain level with respect to a company’s asset base, an enterprise grew by building more, not by getting more out of what it had already built.  Clearly, this was not an environment in which superior knowledge was the key value driver.</w:t>
      </w:r>
    </w:p>
    <w:p>
      <w:pPr>
        <w:pStyle w:val="Text"/>
        <w:rPr/>
      </w:pPr>
      <w:r>
        <w:rPr>
          <w:rStyle w:val="Head4"/>
        </w:rPr>
        <w:t>Successful Organizational Structure</w:t>
      </w:r>
      <w:r>
        <w:rPr>
          <w:color w:val="FFFFFF"/>
        </w:rPr>
        <w:t>—</w:t>
      </w:r>
      <w:r>
        <w:rPr>
          <w:color w:val="000000"/>
        </w:rPr>
        <w:t xml:space="preserve">What often emerged from these variables was a highly hierarchical management style.  With little reward for innovation, we saw highly centralized, traditional organizational structures.  Management compensation was often not heavily tied to shareholder interests – stock options, incentive based pay, and profit sharing programs were rarely found, or represented an immaterial portion of total compensation. </w:t>
      </w:r>
    </w:p>
    <w:p>
      <w:pPr>
        <w:pStyle w:val="Text"/>
        <w:rPr>
          <w:color w:val="000000"/>
        </w:rPr>
      </w:pPr>
      <w:r>
        <w:rPr>
          <w:color w:val="000000"/>
        </w:rPr>
      </w:r>
    </w:p>
    <w:p>
      <w:pPr>
        <w:pStyle w:val="Head2"/>
        <w:rPr/>
      </w:pPr>
      <w:r>
        <w:rPr/>
        <w:t>New Economy – Changing Perspective</w:t>
      </w:r>
    </w:p>
    <w:p>
      <w:pPr>
        <w:pStyle w:val="Text"/>
        <w:rPr/>
      </w:pPr>
      <w:r>
        <w:rPr>
          <w:rStyle w:val="Head4"/>
          <w:b w:val="false"/>
          <w:i/>
        </w:rPr>
        <w:t>Winning in economies that are integrating will be about shaping and owning the right pieces [of the puzzle] at the right time, and putting them together in new ways.</w:t>
      </w:r>
    </w:p>
    <w:p>
      <w:pPr>
        <w:pStyle w:val="Text"/>
        <w:jc w:val="end"/>
        <w:rPr/>
      </w:pPr>
      <w:r>
        <w:rPr>
          <w:rStyle w:val="Head4"/>
          <w:b w:val="false"/>
          <w:i/>
        </w:rPr>
        <w:t xml:space="preserve">Race for the World, </w:t>
      </w:r>
      <w:r>
        <w:rPr>
          <w:rStyle w:val="Head4"/>
          <w:b w:val="false"/>
        </w:rPr>
        <w:t>Lowell Bryan</w:t>
      </w:r>
    </w:p>
    <w:p>
      <w:pPr>
        <w:pStyle w:val="Text"/>
        <w:rPr/>
      </w:pPr>
      <w:r>
        <w:rPr/>
        <w:t>The new economy model is in almost all ways the opposite of this industry’s historical environment.  There are a number of key triggers prompting the industry’s transition:</w:t>
      </w:r>
    </w:p>
    <w:p>
      <w:pPr>
        <w:pStyle w:val="Text"/>
        <w:numPr>
          <w:ilvl w:val="0"/>
          <w:numId w:val="2"/>
        </w:numPr>
        <w:rPr/>
      </w:pPr>
      <w:r>
        <w:rPr>
          <w:rStyle w:val="Head4"/>
        </w:rPr>
        <w:t>Deregulation</w:t>
      </w:r>
      <w:r>
        <w:rPr>
          <w:color w:val="FFFFFF"/>
        </w:rPr>
        <w:t>—</w:t>
      </w:r>
      <w:r>
        <w:rPr>
          <w:color w:val="000000"/>
        </w:rPr>
        <w:t xml:space="preserve">As we have noted previously, deregulation of generation is one of the primary factors triggering certain companies to adopt new economy characteristics. In particular, as the onset of competition eliminates the environment that utilities have historically operated in, a number of new business decisions arise, including brand recognition, specialization, and target regions and demographics (i.e., industrial vs. residential customers). </w:t>
      </w:r>
    </w:p>
    <w:p>
      <w:pPr>
        <w:pStyle w:val="Text"/>
        <w:ind w:start="360" w:end="0"/>
        <w:rPr>
          <w:color w:val="000000"/>
        </w:rPr>
      </w:pPr>
      <w:r>
        <w:rPr>
          <w:color w:val="000000"/>
        </w:rPr>
        <w:t>With deregulation, the ability to earn returns in excess of the cost of capital will become the key to success.  Now that the relationship between these two factors will no longer be regulated, we expect to see a widening spread between the excess returns that the few industry leaders should achieve versus those of the bulk of the sector.  In other words, while companies will no longer be restricted to earn only up to their WACC, they will no longer be guaranteed the ability to earn that return.  Therefore, while some companies will emerge with substantially higher return profiles, we believe that many other companies are likely to find it difficult to earn their previously regulated returns in an unregulated environment.</w:t>
      </w:r>
    </w:p>
    <w:p>
      <w:pPr>
        <w:pStyle w:val="Text"/>
        <w:numPr>
          <w:ilvl w:val="0"/>
          <w:numId w:val="2"/>
        </w:numPr>
        <w:rPr/>
      </w:pPr>
      <w:r>
        <w:rPr>
          <w:rStyle w:val="Head4"/>
        </w:rPr>
        <w:t>End of fuel clauses</w:t>
      </w:r>
      <w:r>
        <w:rPr>
          <w:color w:val="FFFFFF"/>
        </w:rPr>
        <w:t>—</w:t>
      </w:r>
      <w:r>
        <w:rPr>
          <w:color w:val="000000"/>
        </w:rPr>
        <w:t xml:space="preserve">Historically, most regulators allowed utilities to operate under a fuel clause, essentially passing on both the benefits and losses associated with varying fuel prices to customers.  The result was one of the major drivers of the relative indifference to cost management noted earlier.  The use of this mechanism in ratemaking is diminishing both as the generation segment deregulates and the transmission and distribution segment transitions to performance-based ratemaking.  </w:t>
      </w:r>
    </w:p>
    <w:p>
      <w:pPr>
        <w:pStyle w:val="Text"/>
        <w:numPr>
          <w:ilvl w:val="0"/>
          <w:numId w:val="2"/>
        </w:numPr>
        <w:rPr/>
      </w:pPr>
      <w:r>
        <w:rPr>
          <w:rStyle w:val="Head4"/>
        </w:rPr>
        <w:t>Performance-based ratemaking (PBR) for transmission and distribution</w:t>
      </w:r>
      <w:r>
        <w:rPr/>
        <w:t xml:space="preserve"> </w:t>
      </w:r>
      <w:r>
        <w:rPr>
          <w:rStyle w:val="Head4"/>
        </w:rPr>
        <w:t>operations</w:t>
      </w:r>
      <w:r>
        <w:rPr>
          <w:color w:val="FFFFFF"/>
        </w:rPr>
        <w:t>—</w:t>
      </w:r>
      <w:r>
        <w:rPr/>
        <w:t>While the competitive pressures created by deregulation clearly drive the need to change management culture and business practices for the generation market, even the regulated T&amp;D world is evolving into an environment where efficiency will be an increasingly important factor.  Performance-based ratemaking (PBR), a mechanism that allows a utility to earn above its cost of capital by providing customers with enhanced reliability and/or lower prices, is being implemented with increasing frequency.</w:t>
      </w:r>
    </w:p>
    <w:p>
      <w:pPr>
        <w:pStyle w:val="Text"/>
        <w:numPr>
          <w:ilvl w:val="0"/>
          <w:numId w:val="2"/>
        </w:numPr>
        <w:rPr/>
      </w:pPr>
      <w:r>
        <w:rPr>
          <w:rStyle w:val="Head4"/>
        </w:rPr>
        <w:t>Growing free cash flow at the utility business</w:t>
      </w:r>
      <w:r>
        <w:rPr>
          <w:color w:val="FFFFFF"/>
        </w:rPr>
        <w:t>—</w:t>
      </w:r>
      <w:r>
        <w:rPr/>
        <w:t>Through both organic operations and the accelerated recovery of stranded investments, many regulated utilities are generating a substantial amount of free cash flow.  Management’s challenge is to identify effective vehicles to deploy this cash flow and continue to build the operational strength of the company in the changing environment.</w:t>
      </w:r>
    </w:p>
    <w:p>
      <w:pPr>
        <w:pStyle w:val="Text"/>
        <w:rPr/>
      </w:pPr>
      <w:r>
        <w:rPr/>
        <w:t>These four factors have triggered a dramatic change in the core characteristics that previously defined this sector. Based on this fundamental shifting of the defining characteristics of the industry, we have summarized the five major consequences that we see emerging in the sector, which essentially define the future parameters of the industry.</w:t>
      </w:r>
    </w:p>
    <w:p>
      <w:pPr>
        <w:pStyle w:val="Text"/>
        <w:numPr>
          <w:ilvl w:val="0"/>
          <w:numId w:val="4"/>
        </w:numPr>
        <w:rPr>
          <w:color w:val="000000"/>
        </w:rPr>
      </w:pPr>
      <w:r>
        <w:rPr>
          <w:rStyle w:val="Head4"/>
        </w:rPr>
        <w:t>Knowledge matters more than ever</w:t>
      </w:r>
      <w:r>
        <w:rPr>
          <w:color w:val="FFFFFF"/>
        </w:rPr>
        <w:t>—</w:t>
      </w:r>
      <w:r>
        <w:rPr>
          <w:color w:val="000000"/>
        </w:rPr>
        <w:t>Under the new economy structure, we expect that knowledge will play a significant role in determining the success or failure of a utility</w:t>
      </w:r>
      <w:r>
        <w:rPr>
          <w:b/>
          <w:color w:val="000000"/>
        </w:rPr>
        <w:t xml:space="preserve">.  </w:t>
      </w:r>
      <w:r>
        <w:rPr>
          <w:color w:val="000000"/>
        </w:rPr>
        <w:t xml:space="preserve">Intellectual capital, new knowledge based products and progressive technologies are changing the electric industry from a model where the growth of physical assets are the economic drivers to a less tangible environment, where the major advantage is defined by ideas and innovation.  </w:t>
      </w:r>
    </w:p>
    <w:p>
      <w:pPr>
        <w:pStyle w:val="Text"/>
        <w:ind w:start="360" w:end="0"/>
        <w:rPr>
          <w:color w:val="000000"/>
        </w:rPr>
      </w:pPr>
      <w:r>
        <w:rPr>
          <w:color w:val="000000"/>
        </w:rPr>
        <w:t>We have begun to see the trend unfold already—for example, most of the industry’s superior trading and marketing groups have pointed to the need to have physical assets in the regions in which they actively pursue business.  The rationale behind this physical asset foundation does not lie in the actual hard value of the megawatts produced (although clearly there is a value attached to the bricks and mortar power plant).  Rather, it often lies in the superior market insight that a marketer is able to develop by selling hard asset output into a regional power pool, which it is able to exploit at extremely sizeable multiples compared to the actual megawatts produced by that physical plant. Trading and marketing represents only one of the multiple strategies through which we see knowledge playing a key role as deregulation unfolds.</w:t>
      </w:r>
    </w:p>
    <w:p>
      <w:pPr>
        <w:pStyle w:val="Text"/>
        <w:ind w:start="360" w:end="0"/>
        <w:rPr>
          <w:color w:val="000000"/>
        </w:rPr>
      </w:pPr>
      <w:r>
        <w:rPr>
          <w:color w:val="000000"/>
        </w:rPr>
        <w:t>Indeed, as the breakdown in regulation and traditional long term purchase power contracts continues, companies are seeing the management of a portfolio of assets continuously being bought and sold, rather than the buy and hold (annuity) strategy of years past.</w:t>
      </w:r>
    </w:p>
    <w:p>
      <w:pPr>
        <w:pStyle w:val="Text"/>
        <w:numPr>
          <w:ilvl w:val="0"/>
          <w:numId w:val="4"/>
        </w:numPr>
        <w:rPr/>
      </w:pPr>
      <w:r>
        <w:rPr>
          <w:rStyle w:val="Head4"/>
        </w:rPr>
        <w:t>Efficiency incentives continue to grow</w:t>
      </w:r>
      <w:r>
        <w:rPr>
          <w:color w:val="FFFFFF"/>
        </w:rPr>
        <w:t>—</w:t>
      </w:r>
      <w:r>
        <w:rPr/>
        <w:t>Deregulation, the shift away from fuel clauses and towards PBR mechanisms have created distinct incentives to move towards a more efficient cost structure. Driven by a growing opportunity to compete, we believe that pricing and marketing skills (both in the natural gas and power markets) will become increasingly critical assets in the developing market structure.</w:t>
      </w:r>
    </w:p>
    <w:p>
      <w:pPr>
        <w:pStyle w:val="Text"/>
        <w:numPr>
          <w:ilvl w:val="0"/>
          <w:numId w:val="4"/>
        </w:numPr>
        <w:rPr/>
      </w:pPr>
      <w:r>
        <w:rPr>
          <w:rStyle w:val="Head4"/>
        </w:rPr>
        <w:t>New business opportunities arise</w:t>
      </w:r>
      <w:r>
        <w:rPr>
          <w:color w:val="FFFFFF"/>
        </w:rPr>
        <w:t>—</w:t>
      </w:r>
      <w:r>
        <w:rPr>
          <w:color w:val="000000"/>
        </w:rPr>
        <w:t>Importantly, the many changes discussed have given rise to new businesses, and thus the opportunity to drive new revenues out of existing skill sets and invested capital bases.  Opportunities to develop greenfield projects in new regions have brought on a surge of new power plant construction, assigned new levels of importance to development, siting, and marketing skills.  Ancillary services markets have emerged in a number of states, allowing companies to either hedge the new risks created by the deregulating market or seek to trade and prosper on those risks.  Telecommunications has also emerged as a theme within the industry, as utilities look to capitalize on their existing rights of way, infrastructure, and workforces.</w:t>
      </w:r>
      <w:r>
        <w:rPr>
          <w:b/>
          <w:color w:val="000000"/>
        </w:rPr>
        <w:t xml:space="preserve"> </w:t>
      </w:r>
      <w:r>
        <w:rPr>
          <w:color w:val="000000"/>
        </w:rPr>
        <w:t>Overall, the emerging environment will provide the ability to broker, create options and layer services around the physical commodity.</w:t>
      </w:r>
    </w:p>
    <w:p>
      <w:pPr>
        <w:pStyle w:val="Text"/>
        <w:numPr>
          <w:ilvl w:val="0"/>
          <w:numId w:val="4"/>
        </w:numPr>
        <w:rPr/>
      </w:pPr>
      <w:r>
        <w:rPr>
          <w:rStyle w:val="Head4"/>
        </w:rPr>
        <w:t>Capital allocation becomes important</w:t>
      </w:r>
      <w:r>
        <w:rPr>
          <w:color w:val="FFFFFF"/>
        </w:rPr>
        <w:t>—</w:t>
      </w:r>
      <w:r>
        <w:rPr>
          <w:color w:val="000000"/>
        </w:rPr>
        <w:t>However, while many new businesses opportunities will emerge, capital allocation decisions will become paramount.  Where before increasing asset base was a major strategy in creating top line (and earnings) growth, going forward the market will reward those companies that create this growth through the most efficient and effective use of capital.</w:t>
      </w:r>
      <w:r>
        <w:rPr/>
        <w:t xml:space="preserve">  The substantial amounts of cash currently being generated by the regulated utility must be re-deployed in a manner that not only provides reasonable returns, but also optimizes the company’s knowledge base and perpetuates its competitive advantages.</w:t>
      </w:r>
    </w:p>
    <w:p>
      <w:pPr>
        <w:pStyle w:val="Text"/>
        <w:numPr>
          <w:ilvl w:val="0"/>
          <w:numId w:val="4"/>
        </w:numPr>
        <w:rPr/>
      </w:pPr>
      <w:r>
        <w:rPr>
          <w:rStyle w:val="Head4"/>
        </w:rPr>
        <w:t>Organizational structures and corporate culture must change</w:t>
      </w:r>
      <w:r>
        <w:rPr>
          <w:color w:val="FFFFFF"/>
        </w:rPr>
        <w:t>—</w:t>
      </w:r>
      <w:r>
        <w:rPr/>
        <w:t xml:space="preserve">As a result of these fundamental industry changes, the organizational and management structures that will be the most successful will be flat, rather than the traditional command and control hierarchy. As a result, the multi-level, bureaucratic world that was successful in the past has to evolve into a structure that fosters the ability to innovate, and act quickly to capture first-mover advantage, will be critical.  </w:t>
      </w:r>
    </w:p>
    <w:p>
      <w:pPr>
        <w:pStyle w:val="Text"/>
        <w:rPr/>
      </w:pPr>
      <w:r>
        <w:rPr/>
        <w:t xml:space="preserve">In Lowell Bryan’s </w:t>
      </w:r>
      <w:r>
        <w:rPr>
          <w:i/>
        </w:rPr>
        <w:t>Race for the World</w:t>
      </w:r>
      <w:r>
        <w:rPr/>
        <w:t xml:space="preserve">, he notes that across all industries, “the key is to focus on the pace and process of ... integration”.  He further notes that “companies can capture extraordinary profits through cross-geographic arbitrage, taking advantage of differences in the cost of production arising from the historical separation of markets and industry structures”.  </w:t>
      </w:r>
    </w:p>
    <w:p>
      <w:pPr>
        <w:pStyle w:val="Text"/>
        <w:rPr/>
      </w:pPr>
      <w:r>
        <w:rPr/>
        <w:t>While Bryan was speaking to the impact of globalization on these opportunities, we believe that those market participants that best understand the pace and process of deregulation in the electric sector will be able to capture extraordinary profits both domestically and globally.  Under a regulated environment, many of the barriers that typically differentiate world economies were very much at play amongst the various states in this country, which all regulated and incentivized their utilities through distinct mechanisms.  As these barriers are eliminated, and the economic realities of the sector become less disparate, those companies that successfully shift towards the competitive knowledge model will be able to capture a greater majority of the profits over the next 5-10 years.</w:t>
      </w:r>
    </w:p>
    <w:p>
      <w:pPr>
        <w:pStyle w:val="Text"/>
        <w:rPr/>
      </w:pPr>
      <w:r>
        <w:rPr/>
      </w:r>
    </w:p>
    <w:p>
      <w:pPr>
        <w:pStyle w:val="Head1"/>
        <w:rPr/>
      </w:pPr>
      <w:bookmarkStart w:id="1" w:name="__RefHeading___Toc471702812"/>
      <w:bookmarkEnd w:id="1"/>
      <w:r>
        <w:rPr/>
        <w:t>Application to the Electric Industry</w:t>
      </w:r>
    </w:p>
    <w:p>
      <w:pPr>
        <w:pStyle w:val="Text"/>
        <w:rPr/>
      </w:pPr>
      <w:r>
        <w:rPr/>
        <w:t xml:space="preserve">Another consequence of the changes in the industry is the rise of the new economy electric company.  These are companies that are embracing changes and leveraging their current asset base with their knowledge and skills to create value.  </w:t>
      </w:r>
    </w:p>
    <w:p>
      <w:pPr>
        <w:pStyle w:val="Text"/>
        <w:rPr/>
      </w:pPr>
      <w:r>
        <w:rPr/>
        <w:t>Based on this view of the changes developing in the industry, we have identified a number of basic models through which we see leaders emerging from the current incumbent utility group that will be able to unlock value from their existing and developing businesses, and outperform.  Importantly, while we present these as distinct strategies, we expect that many companies will focus on more than one value creation model in an effort to successfully exploit their current competitive advantages.</w:t>
      </w:r>
    </w:p>
    <w:p>
      <w:pPr>
        <w:pStyle w:val="Text"/>
        <w:rPr/>
      </w:pPr>
      <w:r>
        <w:rPr/>
        <w:t>We have also seen a group of new entrants emerge that are responding to the structural changes in the industry.  In all of these models, a central theme must be a constructive regulatory environment.</w:t>
      </w:r>
    </w:p>
    <w:p>
      <w:pPr>
        <w:pStyle w:val="Text"/>
        <w:numPr>
          <w:ilvl w:val="0"/>
          <w:numId w:val="3"/>
        </w:numPr>
        <w:rPr/>
      </w:pPr>
      <w:r>
        <w:rPr>
          <w:rStyle w:val="Head4"/>
        </w:rPr>
        <w:t>Power Broker</w:t>
      </w:r>
      <w:r>
        <w:rPr>
          <w:color w:val="FFFFFF"/>
        </w:rPr>
        <w:t>—</w:t>
      </w:r>
      <w:r>
        <w:rPr/>
        <w:t>These companies will seek to extract new income sources from existing assets, with minimal incremental investment. Comprised mainly of large national or international players, these companies will develop trading and marketing operations to exploit proprietary knowledge of the wholesale generation markets gained from the broad geographic reach of their physical assets for both electricity and fuel. These companies will need dynamic organizational structures to take advantage of fleeting market opportunities while maintaining solid risk management controls.</w:t>
      </w:r>
    </w:p>
    <w:p>
      <w:pPr>
        <w:pStyle w:val="Text"/>
        <w:numPr>
          <w:ilvl w:val="0"/>
          <w:numId w:val="3"/>
        </w:numPr>
        <w:rPr/>
      </w:pPr>
      <w:r>
        <w:rPr>
          <w:rStyle w:val="Head4"/>
        </w:rPr>
        <w:t>Competitive Monopoly</w:t>
      </w:r>
      <w:r>
        <w:rPr>
          <w:color w:val="FFFFFF"/>
        </w:rPr>
        <w:t>—</w:t>
      </w:r>
      <w:r>
        <w:rPr/>
        <w:t>The next tier is comprised of companies that have focused on distribution, rather than generation.  Market leaders in this business will be those able to enhance the value of already existing assets through developing innovative regulatory structures that allow them to derive increased returns from existing assets.  Strategies that we see developing include:</w:t>
      </w:r>
    </w:p>
    <w:p>
      <w:pPr>
        <w:pStyle w:val="Text"/>
        <w:numPr>
          <w:ilvl w:val="0"/>
          <w:numId w:val="11"/>
        </w:numPr>
        <w:rPr/>
      </w:pPr>
      <w:r>
        <w:rPr/>
        <w:t xml:space="preserve">The application of information technology more effectively to the electric distribution business thereby improving customer service, lowering costs and increasing returns to shareholders. </w:t>
      </w:r>
    </w:p>
    <w:p>
      <w:pPr>
        <w:pStyle w:val="Text"/>
        <w:numPr>
          <w:ilvl w:val="0"/>
          <w:numId w:val="11"/>
        </w:numPr>
        <w:rPr/>
      </w:pPr>
      <w:r>
        <w:rPr/>
        <w:t>Expansion into synergistic businesses. T&amp;D companies are in an excellent position to create value propositions from their existing distribution assets and expertise. A new industry of telecommunications providers is forming to create commercial and residential fiber-optic networks. T&amp;D companies have the rights of way, skilled installation and maintenance workforces, and existing customer bases that give them clear competitive advantages to market entrants. Successful companies will take advantage of these advantages and either create a proprietary communications network or partner with an existing communications company to do the same. This expansion will require up-front capital investment, but once in place, companies can create scale advantages by using existing customer service and billing operations to create superior return economics.</w:t>
      </w:r>
    </w:p>
    <w:p>
      <w:pPr>
        <w:pStyle w:val="Text"/>
        <w:numPr>
          <w:ilvl w:val="0"/>
          <w:numId w:val="3"/>
        </w:numPr>
        <w:rPr/>
      </w:pPr>
      <w:r>
        <w:rPr>
          <w:rStyle w:val="Head4"/>
        </w:rPr>
        <w:t>Super-Generator</w:t>
      </w:r>
      <w:r>
        <w:rPr>
          <w:color w:val="FFFFFF"/>
        </w:rPr>
        <w:t>—</w:t>
      </w:r>
      <w:r>
        <w:rPr/>
        <w:t>We have taken a new spin on the theme of optimization – in this industry, there is a considerable level of knowledge and expertise associated with greenfield development, merchant plant acquisition, pollution control and fuel management.  It is not simply building plants well that counts here, but knowing where to build to get the most value from each dollar invested, and when to invest to ensure first-mover advantage.</w:t>
      </w:r>
    </w:p>
    <w:p>
      <w:pPr>
        <w:pStyle w:val="Text"/>
        <w:ind w:start="360" w:end="0"/>
        <w:rPr/>
      </w:pPr>
      <w:r>
        <w:rPr/>
        <w:t xml:space="preserve">While this is the model that will continue to be the most capital intensive of the three, and might therefore be harder to distinguish within a new economy structure, we believe that a substantial amount of the superior value that these companies extract will be differentiated by their ability to leverage their knowledge of these skills.  These skills will be critically important in allowing these companies first mover advantage in the deployment of new more efficient power generation in the merchant power market. </w:t>
      </w:r>
    </w:p>
    <w:p>
      <w:pPr>
        <w:pStyle w:val="Text"/>
        <w:numPr>
          <w:ilvl w:val="0"/>
          <w:numId w:val="5"/>
        </w:numPr>
        <w:rPr/>
      </w:pPr>
      <w:r>
        <w:rPr>
          <w:rStyle w:val="Head4"/>
        </w:rPr>
        <w:t>New Entrants</w:t>
      </w:r>
      <w:r>
        <w:rPr>
          <w:color w:val="FFFFFF"/>
        </w:rPr>
        <w:t>—</w:t>
      </w:r>
      <w:r>
        <w:rPr>
          <w:color w:val="000000"/>
        </w:rPr>
        <w:t xml:space="preserve">Finally, we define the new entrants as companies that were formed as a result of deregulation, rather than being forced to adapt in the face of it.  AES and Calpine are the two major publicly traded new entrants to the domestic electric power industry.  Both companies were formed in the wake of the passage of the Public Utility Regulatory Policy Act (PURPA) of 1978, which, for the first time, allowed non-utility companies to own and operate power generation facilities. </w:t>
      </w:r>
    </w:p>
    <w:p>
      <w:pPr>
        <w:pStyle w:val="Text"/>
        <w:ind w:start="360" w:end="0"/>
        <w:rPr/>
      </w:pPr>
      <w:r>
        <w:rPr/>
        <w:t xml:space="preserve">The current group of new entrants have been active primarily in the generation segment of the industry and bear a resemblance to the utilities we label Super Generators.  As deregulation unfolds, we would expect other new entrants to emerge that correspond more closely with the power broker and competitive monopoly models.  </w:t>
      </w:r>
    </w:p>
    <w:p>
      <w:pPr>
        <w:pStyle w:val="Text"/>
        <w:ind w:start="360" w:end="0"/>
        <w:rPr/>
      </w:pPr>
      <w:r>
        <w:rPr/>
        <w:t>4 characteristics distinguish the new entrants from the traditional regulated utilities:</w:t>
      </w:r>
    </w:p>
    <w:p>
      <w:pPr>
        <w:pStyle w:val="Text"/>
        <w:numPr>
          <w:ilvl w:val="0"/>
          <w:numId w:val="7"/>
        </w:numPr>
        <w:ind w:hanging="360" w:start="720" w:end="0"/>
        <w:rPr/>
      </w:pPr>
      <w:r>
        <w:rPr>
          <w:b/>
        </w:rPr>
        <w:t>Knowledge Drives Returns</w:t>
      </w:r>
      <w:r>
        <w:rPr/>
        <w:t xml:space="preserve">   The new entrants have never been burdened by return cap regulation.  Since their formation, the application of marketplace knowledge and technical skill—in locating and executing on new power project investment opportunities---has been the primary determinant of ROIC, not regulatory restrictions.    </w:t>
      </w:r>
    </w:p>
    <w:p>
      <w:pPr>
        <w:pStyle w:val="Text"/>
        <w:numPr>
          <w:ilvl w:val="0"/>
          <w:numId w:val="7"/>
        </w:numPr>
        <w:ind w:hanging="360" w:start="720" w:end="0"/>
        <w:rPr/>
      </w:pPr>
      <w:r>
        <w:rPr>
          <w:b/>
        </w:rPr>
        <w:t>No Transformation Required/First Mover Advantage</w:t>
      </w:r>
      <w:r>
        <w:rPr/>
        <w:t xml:space="preserve">   These companies have benefited by not inheriting an asset base or culture in need of transformation.  Management has been able to focus its full attention on the emerging opportunities in the deregulating power markets.  For both AES and Calpine, this lack of distraction has helped give them a first mover advantage in the domestic and global markets in which they operate.</w:t>
      </w:r>
    </w:p>
    <w:p>
      <w:pPr>
        <w:pStyle w:val="Text"/>
        <w:numPr>
          <w:ilvl w:val="0"/>
          <w:numId w:val="7"/>
        </w:numPr>
        <w:ind w:hanging="360" w:start="720" w:end="0"/>
        <w:rPr/>
      </w:pPr>
      <w:r>
        <w:rPr>
          <w:b/>
        </w:rPr>
        <w:t>Decentralized Organizational Structures</w:t>
      </w:r>
      <w:r>
        <w:rPr/>
        <w:t xml:space="preserve">   Both AES and Calpine remain true to their start-up company roots in maintaining decentralized organizations with entrepreneurial incentivized cultures.  Their organizations foster innovative thinking and enable the new entrants to nimbly react to new opportunities when they arise.  In our view, this characteristic has given both AES and Calpine a major competitive advantage versus the incumbent utilities.</w:t>
      </w:r>
    </w:p>
    <w:p>
      <w:pPr>
        <w:pStyle w:val="Text"/>
        <w:numPr>
          <w:ilvl w:val="0"/>
          <w:numId w:val="7"/>
        </w:numPr>
        <w:ind w:hanging="360" w:start="720" w:end="0"/>
        <w:rPr/>
      </w:pPr>
      <w:r>
        <w:rPr>
          <w:b/>
        </w:rPr>
        <w:t xml:space="preserve">Financing Skills   </w:t>
      </w:r>
      <w:r>
        <w:rPr/>
        <w:t>Although the new entrants lack the benefit of a set of high cash flow generating regulated assets to fund their investments, they have shown themselves rather adept at raising external financing.  Over the years, AES and Calpine have developed a strong reputation in both the capital and project finance markets.  Both companies have successfully raised several billion dollars of both equity and debt capital to fuel their rapid expansion.</w:t>
      </w:r>
    </w:p>
    <w:p>
      <w:pPr>
        <w:pStyle w:val="Text"/>
        <w:rPr/>
      </w:pPr>
      <w:r>
        <w:rPr/>
        <w:t>Overall, falling regulatory barriers will create value creation opportunities along with threats to the status quo. Investors that anticipate which companies can capitalize on these new rules will have the opportunity to capitalize on the upward return revisions that will result from these sweeping changes.</w:t>
      </w:r>
    </w:p>
    <w:p>
      <w:pPr>
        <w:pStyle w:val="Head1"/>
        <w:rPr/>
      </w:pPr>
      <w:bookmarkStart w:id="2" w:name="__RefHeading___Toc471702813"/>
      <w:bookmarkEnd w:id="2"/>
      <w:r>
        <w:rPr/>
        <w:t>The Changes Occurring with New Economy Electrics</w:t>
      </w:r>
    </w:p>
    <w:p>
      <w:pPr>
        <w:pStyle w:val="Text"/>
        <w:rPr>
          <w:color w:val="000000"/>
        </w:rPr>
      </w:pPr>
      <w:r>
        <w:rPr>
          <w:color w:val="000000"/>
        </w:rPr>
        <w:t xml:space="preserve">One of the defining factors of a New Economy Electric is the increasing importance of intellectual capital.  We contend the companies with the biggest pools of knowledge will have a distinct competitive advantage and thus be able to grow faster.  In contrast with physical capital, it is harder to analyze and quantify the benefits of intellectual capital.   However, although intangible, we believe that intellectual capital is one of the key factors that differentiate the companies we define as New Economy Electrics.  For example, looking at Duke Energy over the last two years, the company has hired a number of top level individuals to run their trading and other competitive operations.  In the past, Duke would most likely not have been able to attract this caliber of personnel into the utility.  In fact, it is Duke’s transformation from a utility to a dynamic, competitive, new economy organization that has brought in this new talent—and it is this new talent that will allow the company to continue to achieve new and higher levels of success.  </w:t>
      </w:r>
    </w:p>
    <w:p>
      <w:pPr>
        <w:pStyle w:val="Text"/>
        <w:rPr>
          <w:color w:val="000000"/>
        </w:rPr>
      </w:pPr>
      <w:r>
        <w:rPr>
          <w:color w:val="000000"/>
        </w:rPr>
        <w:t xml:space="preserve">In addition, New Economy Electrics are building networks that will not only allow them to sell the commodity, but once fully built out provide the ability to broker, create options and layer services.  Basically a network can offer a full menu of knowledge based products that will increase profits and returns.  Enron is an excellent example.  They offer over 400 distinct services, which are priced separately and repackaged for the customer.  By creating deep markets of both customers and suppliers and by creating a proprietary system to transport energy, Enron creates a competitive advantage.  </w:t>
      </w:r>
    </w:p>
    <w:p>
      <w:pPr>
        <w:pStyle w:val="Text"/>
        <w:rPr>
          <w:color w:val="000000"/>
        </w:rPr>
      </w:pPr>
      <w:r>
        <w:rPr>
          <w:color w:val="000000"/>
        </w:rPr>
        <w:t xml:space="preserve">Information technology improvements are another reason that New Economy Electrics can become more knowledge driven and less dependent on the physical asset.  Superior IT systems allow these companies to manipulate the world around them.  In the recent past new systems have already begun to play a large role in this industry, however as the markets de-regulate we believe that they will become one of the major factors driving growth.  Electrics that are slow to transition will be at a disadvantage.  Unfortunately, knowledge based products are expensive.  </w:t>
      </w:r>
    </w:p>
    <w:p>
      <w:pPr>
        <w:pStyle w:val="Text"/>
        <w:rPr/>
      </w:pPr>
      <w:r>
        <w:rPr/>
        <w:t>In particular, we have identified nine companies across the four models outlined previously that are working towards a knowledge-based framework, as detailed in exhibit 1:</w:t>
      </w:r>
    </w:p>
    <w:p>
      <w:pPr>
        <w:pStyle w:val="CameraReadyTableTitle"/>
        <w:rPr/>
      </w:pPr>
      <w:r>
        <w:rPr/>
        <w:t>Exhibit 1</w:t>
        <w:br/>
        <w:t>Emerging New Economy Electrics</w:t>
      </w:r>
    </w:p>
    <w:p>
      <w:pPr>
        <w:pStyle w:val="Picture"/>
        <w:rPr/>
      </w:pPr>
      <w:r>
        <w:rPr/>
        <w:drawing>
          <wp:inline distT="0" distB="0" distL="0" distR="0">
            <wp:extent cx="4620895" cy="485140"/>
            <wp:effectExtent l="0" t="0" r="0" b="0"/>
            <wp:docPr id="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title=""/>
                    <pic:cNvPicPr>
                      <a:picLocks noChangeAspect="1" noChangeArrowheads="1"/>
                    </pic:cNvPicPr>
                  </pic:nvPicPr>
                  <pic:blipFill>
                    <a:blip r:embed="rId4"/>
                    <a:srcRect l="-8" t="-75" r="-8" b="-75"/>
                    <a:stretch>
                      <a:fillRect/>
                    </a:stretch>
                  </pic:blipFill>
                  <pic:spPr bwMode="auto">
                    <a:xfrm>
                      <a:off x="0" y="0"/>
                      <a:ext cx="4620895" cy="485140"/>
                    </a:xfrm>
                    <a:prstGeom prst="rect">
                      <a:avLst/>
                    </a:prstGeom>
                    <a:noFill/>
                  </pic:spPr>
                </pic:pic>
              </a:graphicData>
            </a:graphic>
          </wp:inline>
        </w:drawing>
      </w:r>
    </w:p>
    <w:p>
      <w:pPr>
        <w:pStyle w:val="Text"/>
        <w:rPr/>
      </w:pPr>
      <w:r>
        <w:rPr/>
      </w:r>
    </w:p>
    <w:p>
      <w:pPr>
        <w:pStyle w:val="Text"/>
        <w:rPr/>
      </w:pPr>
      <w:r>
        <w:rPr/>
        <w:t>While most are currently in the build out phase of development, our value-based analysis supports our expectation that these strategies should drive above average earnings, return on capital and economic profit growth over the next five years.</w:t>
      </w:r>
    </w:p>
    <w:p>
      <w:pPr>
        <w:pStyle w:val="Text"/>
        <w:rPr/>
      </w:pPr>
      <w:r>
        <w:rPr/>
        <w:t xml:space="preserve">Importantly, we believe that the superior returns these companies should be able to generate are not currently reflected in their respective stock prices. Investors have been using old valuation metrics to evaluate these strategies.  However, we believe that the new metrics need to be used to fully appreciate the value creation potential of these strategies. </w:t>
      </w:r>
      <w:r>
        <mc:AlternateContent>
          <mc:Choice Requires="wps">
            <w:drawing>
              <wp:anchor behindDoc="0" distT="118745" distB="118745" distL="118745" distR="118745" simplePos="0" locked="0" layoutInCell="0" allowOverlap="1" relativeHeight="7">
                <wp:simplePos x="0" y="0"/>
                <wp:positionH relativeFrom="page">
                  <wp:posOffset>915035</wp:posOffset>
                </wp:positionH>
                <wp:positionV relativeFrom="paragraph">
                  <wp:posOffset>27940</wp:posOffset>
                </wp:positionV>
                <wp:extent cx="1261745" cy="882650"/>
                <wp:effectExtent l="0" t="0" r="0" b="0"/>
                <wp:wrapSquare wrapText="bothSides"/>
                <wp:docPr id="6" name="Frame3"/>
                <a:graphic xmlns:a="http://schemas.openxmlformats.org/drawingml/2006/main">
                  <a:graphicData uri="http://schemas.microsoft.com/office/word/2010/wordprocessingShape">
                    <wps:wsp>
                      <wps:cNvSpPr txBox="1"/>
                      <wps:spPr>
                        <a:xfrm>
                          <a:off x="0" y="0"/>
                          <a:ext cx="1261745" cy="882650"/>
                        </a:xfrm>
                        <a:prstGeom prst="rect"/>
                        <a:solidFill>
                          <a:srgbClr val="FFFFFF">
                            <a:alpha val="0"/>
                          </a:srgbClr>
                        </a:solidFill>
                      </wps:spPr>
                      <wps:txbx>
                        <w:txbxContent>
                          <w:p>
                            <w:pPr>
                              <w:pStyle w:val="HangingText"/>
                              <w:keepNext w:val="true"/>
                              <w:spacing w:before="10" w:after="120"/>
                              <w:jc w:val="start"/>
                              <w:rPr/>
                            </w:pPr>
                            <w:r>
                              <w:rPr/>
                              <w:t>Current stock prices do not reflect the potential earnings upside that we see driving these stocks to outperform.</w:t>
                            </w:r>
                          </w:p>
                        </w:txbxContent>
                      </wps:txbx>
                      <wps:bodyPr anchor="t" lIns="0" tIns="0" rIns="0" bIns="0">
                        <a:noAutofit/>
                      </wps:bodyPr>
                    </wps:wsp>
                  </a:graphicData>
                </a:graphic>
              </wp:anchor>
            </w:drawing>
          </mc:Choice>
          <mc:Fallback>
            <w:pict>
              <v:rect fillcolor="#FFFFFF" style="position:absolute;rotation:-0;width:99.35pt;height:69.5pt;mso-wrap-distance-left:9.35pt;mso-wrap-distance-right:9.35pt;mso-wrap-distance-top:9.35pt;mso-wrap-distance-bottom:9.35pt;margin-top:2.2pt;mso-position-vertical-relative:text;margin-left:72.05pt;mso-position-horizontal-relative:page">
                <v:fill opacity="0f"/>
                <v:textbox inset="0in,0in,0in,0in">
                  <w:txbxContent>
                    <w:p>
                      <w:pPr>
                        <w:pStyle w:val="HangingText"/>
                        <w:keepNext w:val="true"/>
                        <w:spacing w:before="10" w:after="120"/>
                        <w:jc w:val="start"/>
                        <w:rPr/>
                      </w:pPr>
                      <w:r>
                        <w:rPr/>
                        <w:t>Current stock prices do not reflect the potential earnings upside that we see driving these stocks to outperform.</w:t>
                      </w:r>
                    </w:p>
                  </w:txbxContent>
                </v:textbox>
                <w10:wrap type="square"/>
              </v:rect>
            </w:pict>
          </mc:Fallback>
        </mc:AlternateContent>
      </w:r>
    </w:p>
    <w:p>
      <w:pPr>
        <w:pStyle w:val="Text"/>
        <w:rPr/>
      </w:pPr>
      <w:r>
        <w:rPr/>
        <w:t xml:space="preserve">Historically, the investor base for the sector was focused more on a yield story than one of growth, and is therefore somewhat skeptical of the build-out requirements that underlie these strategies, which typically preclude immediate earnings growth.  The resulting environment is one dominated by a “show me” attitude.  In addition, we believe that the traditional valuation metrics that most investors have been using to analyze these companies are insufficient to fully understand the changing economics of the new economy strategies being employed by these companies.  As we will discuss at length in this report, we believe valuation tools such as ROIC offer insight into both the sustainability of earnings growth and the capital efficiency of the companies.  Clearly, these will be important components in the determination of success or failure within this industry as it deregulates.  </w:t>
      </w:r>
    </w:p>
    <w:p>
      <w:pPr>
        <w:pStyle w:val="Head1"/>
        <w:rPr/>
      </w:pPr>
      <w:bookmarkStart w:id="3" w:name="__RefHeading___Toc471702814"/>
      <w:bookmarkEnd w:id="3"/>
      <w:r>
        <w:rPr/>
        <w:t>Enron: The Optimal Case Study</w:t>
      </w:r>
    </w:p>
    <w:p>
      <w:pPr>
        <w:pStyle w:val="CommentText"/>
        <w:jc w:val="start"/>
        <w:rPr/>
      </w:pPr>
      <w:r>
        <w:rPr/>
        <w:t xml:space="preserve">Enron represents the optimal case study of the potential success that can be created by transitioning to a new economy framework.   The company has demonstrated the huge profit potential that exists when sophisticated energy marketers control the fuel input decision of a large, diversified customer base and simultaneously can arbitrage energy across BTU’s, regions and time. This is the end game that Enron is pursuing. As described by Enron at a recent investor conference, a company first needs physical assets–the logistic to control and move gas and electric. Then open access/deregulation allows access to the physical assets of other companies. A third component is market-making, facilitating the purchase of individual components at the lowest costs. Thus the “network” allows for the separation of all functions into component parts. This facilitates the lowest cost repackaging of the components into the optimal tailored products. </w:t>
      </w:r>
      <w:r>
        <w:rPr>
          <w:i/>
        </w:rPr>
        <w:t>This network allows for very high incremental return on invested capital, once in place.</w:t>
      </w:r>
    </w:p>
    <w:p>
      <w:pPr>
        <w:pStyle w:val="CommentText"/>
        <w:jc w:val="start"/>
        <w:rPr/>
      </w:pPr>
      <w:r>
        <w:rPr/>
        <w:t>The market has recognized Enron’s pursuit of this formula, and that the cost of replicating and distributing knowledge-based products is close to zero once mastered. The fact that a large majority of the high up front costs have already been born by Enron is a huge part of why Enron’s common stock has performed well (Exhibit 2 below), and its multiple has increased dramatically in the past two years. Simply stated, investors realize that the potential incremental return on invested capital on Enron’s knowledge and information based wholesale and retail marketing businesses is huge. This is true even if Enron were limited to the US. What’s very powerful is that the model can be replicated in Europe, across the continent, South America and ultimately in the rest of the emerging world.</w:t>
      </w:r>
    </w:p>
    <w:p>
      <w:pPr>
        <w:sectPr>
          <w:headerReference w:type="default" r:id="rId5"/>
          <w:headerReference w:type="first" r:id="rId6"/>
          <w:footerReference w:type="default" r:id="rId7"/>
          <w:footerReference w:type="first" r:id="rId8"/>
          <w:type w:val="nextPage"/>
          <w:pgSz w:w="12240" w:h="15840"/>
          <w:pgMar w:left="3816" w:right="1195" w:gutter="0" w:header="547" w:top="720" w:footer="360" w:bottom="1080"/>
          <w:pgNumType w:fmt="decimal"/>
          <w:formProt w:val="false"/>
          <w:titlePg/>
          <w:textDirection w:val="lrTb"/>
          <w:docGrid w:type="default" w:linePitch="360" w:charSpace="0"/>
        </w:sectPr>
        <w:pStyle w:val="CommentText"/>
        <w:spacing w:before="120" w:after="120"/>
        <w:jc w:val="start"/>
        <w:rPr/>
      </w:pPr>
      <w:r>
        <w:rPr/>
        <w:t>Enron has leveraged its existing asset base into knowledge based businesses with high returns. The company developed unique networks each with distinct scale advantages to create large market share gains. Core skills-finance, risk management, engineering, technology and asset operations/are applied across each network from a central distribution point. Enron has also publicly stated its goal of reducing capital employed in non-network businesses. Once again the potential for a winner take all or in this case winner take most outcome is having a major positive effect on valuation.</w:t>
      </w:r>
    </w:p>
    <w:p>
      <w:pPr>
        <w:pStyle w:val="CameraReadyTableTitle"/>
        <w:rPr/>
      </w:pPr>
      <w:r>
        <w:rPr/>
        <w:t>Exhibit 2</w:t>
        <w:br/>
        <w:t>Enron Case Study</w:t>
      </w:r>
    </w:p>
    <w:p>
      <w:pPr>
        <w:sectPr>
          <w:headerReference w:type="default" r:id="rId10"/>
          <w:headerReference w:type="first" r:id="rId11"/>
          <w:footerReference w:type="default" r:id="rId12"/>
          <w:footerReference w:type="first" r:id="rId13"/>
          <w:type w:val="nextPage"/>
          <w:pgSz w:orient="landscape" w:w="15840" w:h="12240"/>
          <w:pgMar w:left="1440" w:right="1195" w:gutter="0" w:header="547" w:top="1627" w:footer="360" w:bottom="1080"/>
          <w:pgNumType w:fmt="decimal"/>
          <w:formProt w:val="false"/>
          <w:textDirection w:val="lrTb"/>
          <w:docGrid w:type="default" w:linePitch="360" w:charSpace="0"/>
        </w:sectPr>
        <w:pStyle w:val="Text"/>
        <w:rPr/>
      </w:pPr>
      <w:r>
        <w:rPr/>
        <w:drawing>
          <wp:inline distT="0" distB="0" distL="0" distR="0">
            <wp:extent cx="8376285" cy="4161790"/>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9"/>
                    <a:srcRect l="-4" t="-8" r="-4" b="-8"/>
                    <a:stretch>
                      <a:fillRect/>
                    </a:stretch>
                  </pic:blipFill>
                  <pic:spPr bwMode="auto">
                    <a:xfrm>
                      <a:off x="0" y="0"/>
                      <a:ext cx="8376285" cy="4161790"/>
                    </a:xfrm>
                    <a:prstGeom prst="rect">
                      <a:avLst/>
                    </a:prstGeom>
                    <a:noFill/>
                  </pic:spPr>
                </pic:pic>
              </a:graphicData>
            </a:graphic>
          </wp:inline>
        </w:drawing>
      </w:r>
    </w:p>
    <w:p>
      <w:pPr>
        <w:pStyle w:val="Head1"/>
        <w:rPr/>
      </w:pPr>
      <w:bookmarkStart w:id="4" w:name="__RefHeading___Toc471702815"/>
      <w:bookmarkEnd w:id="4"/>
      <w:r>
        <w:rPr/>
        <w:t>Valuation Metrics – ROIC Matters</w:t>
      </w:r>
    </w:p>
    <w:p>
      <w:pPr>
        <w:pStyle w:val="Head2"/>
        <w:rPr/>
      </w:pPr>
      <w:r>
        <w:rPr/>
        <w:t>Relevance to the Electric Industry</w:t>
      </w:r>
    </w:p>
    <w:p>
      <w:pPr>
        <w:pStyle w:val="Text"/>
        <w:rPr/>
      </w:pPr>
      <w:r>
        <w:rPr/>
        <w:t xml:space="preserve">As we have discussed previously, new valuation metrics play a significant role in our current view of the industry.  Why look to new valuation tools to understand the direction that the electric industry is likely to take as it transitions to a competitive environment?  Because statistically, empirical studies published by Credit Suisse First Boston have demonstrated that for the larger market, earnings growth rates have almost no correlation with P/E ratios for the constituents of the S&amp;P 500 (see exhibit 3).  </w:t>
      </w:r>
    </w:p>
    <w:p>
      <w:pPr>
        <w:pStyle w:val="Text"/>
        <w:rPr/>
      </w:pPr>
      <w:r>
        <w:rPr/>
      </w:r>
    </w:p>
    <w:p>
      <w:pPr>
        <w:pStyle w:val="CameraReadyTableTitle"/>
        <w:rPr/>
      </w:pPr>
      <w:r>
        <w:rPr/>
        <w:t>Exhibit 3</w:t>
        <w:br/>
        <w:t>Weak Correlation Between 1999 P/Es and Long-Term Earning Growth for the S&amp;P 500</w:t>
      </w:r>
    </w:p>
    <w:p>
      <w:pPr>
        <w:pStyle w:val="Text"/>
        <w:rPr/>
      </w:pPr>
      <w:r>
        <w:rPr/>
        <w:drawing>
          <wp:inline distT="0" distB="0" distL="0" distR="0">
            <wp:extent cx="4584065" cy="2481580"/>
            <wp:effectExtent l="0" t="0" r="0" b="0"/>
            <wp:docPr id="1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title=""/>
                    <pic:cNvPicPr>
                      <a:picLocks noChangeAspect="1" noChangeArrowheads="1"/>
                    </pic:cNvPicPr>
                  </pic:nvPicPr>
                  <pic:blipFill>
                    <a:blip r:embed="rId14"/>
                    <a:srcRect l="-4" t="-8" r="-4" b="-8"/>
                    <a:stretch>
                      <a:fillRect/>
                    </a:stretch>
                  </pic:blipFill>
                  <pic:spPr bwMode="auto">
                    <a:xfrm>
                      <a:off x="0" y="0"/>
                      <a:ext cx="4584065" cy="2481580"/>
                    </a:xfrm>
                    <a:prstGeom prst="rect">
                      <a:avLst/>
                    </a:prstGeom>
                    <a:noFill/>
                  </pic:spPr>
                </pic:pic>
              </a:graphicData>
            </a:graphic>
          </wp:inline>
        </w:drawing>
      </w:r>
    </w:p>
    <w:p>
      <w:pPr>
        <w:sectPr>
          <w:headerReference w:type="default" r:id="rId15"/>
          <w:headerReference w:type="first" r:id="rId16"/>
          <w:footerReference w:type="default" r:id="rId17"/>
          <w:footerReference w:type="first" r:id="rId18"/>
          <w:type w:val="nextPage"/>
          <w:pgSz w:w="12240" w:h="15840"/>
          <w:pgMar w:left="3816" w:right="1195" w:gutter="0" w:header="547" w:top="1627" w:footer="360" w:bottom="1080"/>
          <w:pgNumType w:fmt="decimal"/>
          <w:formProt w:val="false"/>
          <w:textDirection w:val="lrTb"/>
          <w:docGrid w:type="default" w:linePitch="360" w:charSpace="0"/>
        </w:sectPr>
        <w:pStyle w:val="Text"/>
        <w:rPr/>
      </w:pPr>
      <w:r>
        <w:rPr/>
        <w:t xml:space="preserve">As the electric industry deregulates, we anticipate that the economic relationships that govern the world’s existing competitive sectors will begin to dominate the electric sector as well.  Historically, these metrics were relatively immaterial to utility investors—analysis of our electric utility universe indicates that there </w:t>
      </w:r>
      <w:r>
        <w:rPr>
          <w:i/>
        </w:rPr>
        <w:t xml:space="preserve">has </w:t>
      </w:r>
      <w:r>
        <w:rPr/>
        <w:t>been a stronger correlation between long-term earnings growth rates and one-year forward P/E ratios than the correlation for the broader markets.  Fundamentally, this relationship was driven by the fact that regulators only allowed utilities to earn their returns in line with their weighted average cost of capital.  As a result, the ability to earn excess returns could not play a central factor in valuing a company.  Rather, earnings growth acted as a truer proxy than is typical in most industries, signaling the strength of a utility’s regulatory relationships and service territory.</w:t>
      </w:r>
    </w:p>
    <w:p>
      <w:pPr>
        <w:pStyle w:val="CameraReadyTableTitle"/>
        <w:rPr/>
      </w:pPr>
      <w:r>
        <w:rPr/>
        <w:t>Exhibit 4</w:t>
        <w:br/>
        <w:t>Strong ROIC Correlation – Multi-Industry Regression Analysis</w:t>
      </w:r>
    </w:p>
    <w:p>
      <w:pPr>
        <w:pStyle w:val="CameraReadyTableSubtitle"/>
        <w:rPr/>
      </w:pPr>
      <w:r>
        <w:rPr/>
        <w:t>Includes companies across all industries, per the CSFB VDF Database</w:t>
      </w:r>
    </w:p>
    <w:p>
      <w:pPr>
        <w:pStyle w:val="Picture"/>
        <w:rPr/>
      </w:pPr>
      <w:r>
        <w:rPr/>
        <w:drawing>
          <wp:inline distT="0" distB="0" distL="0" distR="0">
            <wp:extent cx="4544060" cy="2653665"/>
            <wp:effectExtent l="0" t="0" r="0" b="0"/>
            <wp:docPr id="1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title=""/>
                    <pic:cNvPicPr>
                      <a:picLocks noChangeAspect="1" noChangeArrowheads="1"/>
                    </pic:cNvPicPr>
                  </pic:nvPicPr>
                  <pic:blipFill>
                    <a:blip r:embed="rId19"/>
                    <a:srcRect l="-8" t="-14" r="-8" b="-14"/>
                    <a:stretch>
                      <a:fillRect/>
                    </a:stretch>
                  </pic:blipFill>
                  <pic:spPr bwMode="auto">
                    <a:xfrm>
                      <a:off x="0" y="0"/>
                      <a:ext cx="4544060" cy="2653665"/>
                    </a:xfrm>
                    <a:prstGeom prst="rect">
                      <a:avLst/>
                    </a:prstGeom>
                    <a:noFill/>
                  </pic:spPr>
                </pic:pic>
              </a:graphicData>
            </a:graphic>
          </wp:inline>
        </w:drawing>
      </w:r>
    </w:p>
    <w:p>
      <w:pPr>
        <w:pStyle w:val="Text"/>
        <w:rPr/>
      </w:pPr>
      <w:r>
        <w:rPr/>
      </w:r>
    </w:p>
    <w:p>
      <w:pPr>
        <w:pStyle w:val="Text"/>
        <w:rPr/>
      </w:pPr>
      <w:r>
        <w:rPr/>
        <w:t xml:space="preserve">However, as this regulatory regime disassembles, we have seen the correlation between a company’s ROIC and the premium paid by the market grow dramatically (see exhibit 5).  This growing trend is dramatic – the correlation has grown dramatically since 1995, from a low 29% in 1995 to a comparatively definitive correlation of 71% in 1998 (see exhibit 5).  </w:t>
      </w:r>
    </w:p>
    <w:p>
      <w:pPr>
        <w:sectPr>
          <w:headerReference w:type="default" r:id="rId20"/>
          <w:headerReference w:type="first" r:id="rId21"/>
          <w:footerReference w:type="default" r:id="rId22"/>
          <w:footerReference w:type="first" r:id="rId23"/>
          <w:type w:val="nextPage"/>
          <w:pgSz w:w="12240" w:h="15840"/>
          <w:pgMar w:left="3816" w:right="1195" w:gutter="0" w:header="547" w:top="1627" w:footer="360" w:bottom="1080"/>
          <w:pgNumType w:fmt="decimal"/>
          <w:formProt w:val="false"/>
          <w:textDirection w:val="lrTb"/>
          <w:docGrid w:type="default" w:linePitch="360" w:charSpace="0"/>
        </w:sectPr>
        <w:pStyle w:val="Text"/>
        <w:rPr/>
      </w:pPr>
      <w:r>
        <w:rPr/>
        <w:t>Consequently, we anticipate that those electrics that are currently re-positioning their strategies towards business with high ROIC potential will emerge as the winners in the industry over the next few years.</w:t>
      </w:r>
    </w:p>
    <w:p>
      <w:pPr>
        <w:pStyle w:val="CameraReadyTableTitle"/>
        <w:rPr/>
      </w:pPr>
      <w:r>
        <w:rPr/>
        <w:t>Exhibit 5</w:t>
        <w:br/>
        <w:t>Growing Correlation between EV/IC and ROIC for Electric Utilities</w:t>
      </w:r>
    </w:p>
    <w:p>
      <w:pPr>
        <w:pStyle w:val="CameraReadyTableSubtitle"/>
        <w:rPr/>
      </w:pPr>
      <w:r>
        <w:rPr/>
        <w:t>1995-1998</w:t>
      </w:r>
    </w:p>
    <w:p>
      <w:pPr>
        <w:pStyle w:val="Picture"/>
        <w:rPr/>
      </w:pPr>
      <w:r>
        <w:rPr/>
        <w:drawing>
          <wp:inline distT="0" distB="0" distL="0" distR="0">
            <wp:extent cx="3020060" cy="1864995"/>
            <wp:effectExtent l="0" t="0" r="0" b="0"/>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24"/>
                    <a:srcRect l="-8" t="-15" r="-8" b="-15"/>
                    <a:stretch>
                      <a:fillRect/>
                    </a:stretch>
                  </pic:blipFill>
                  <pic:spPr bwMode="auto">
                    <a:xfrm>
                      <a:off x="0" y="0"/>
                      <a:ext cx="3020060" cy="1864995"/>
                    </a:xfrm>
                    <a:prstGeom prst="rect">
                      <a:avLst/>
                    </a:prstGeom>
                    <a:noFill/>
                  </pic:spPr>
                </pic:pic>
              </a:graphicData>
            </a:graphic>
          </wp:inline>
        </w:drawing>
      </w:r>
      <w:r>
        <w:rPr>
          <w:rFonts w:eastAsia="Arial"/>
        </w:rPr>
        <w:t xml:space="preserve"> </w:t>
      </w:r>
      <w:r>
        <w:rPr/>
        <w:drawing>
          <wp:inline distT="0" distB="0" distL="0" distR="0">
            <wp:extent cx="2942590" cy="1856105"/>
            <wp:effectExtent l="0" t="0" r="0" b="0"/>
            <wp:docPr id="15"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descr="" title=""/>
                    <pic:cNvPicPr>
                      <a:picLocks noChangeAspect="1" noChangeArrowheads="1"/>
                    </pic:cNvPicPr>
                  </pic:nvPicPr>
                  <pic:blipFill>
                    <a:blip r:embed="rId25"/>
                    <a:srcRect l="-8" t="-15" r="-8" b="-15"/>
                    <a:stretch>
                      <a:fillRect/>
                    </a:stretch>
                  </pic:blipFill>
                  <pic:spPr bwMode="auto">
                    <a:xfrm>
                      <a:off x="0" y="0"/>
                      <a:ext cx="2942590" cy="1856105"/>
                    </a:xfrm>
                    <a:prstGeom prst="rect">
                      <a:avLst/>
                    </a:prstGeom>
                    <a:noFill/>
                  </pic:spPr>
                </pic:pic>
              </a:graphicData>
            </a:graphic>
          </wp:inline>
        </w:drawing>
      </w:r>
    </w:p>
    <w:p>
      <w:pPr>
        <w:pStyle w:val="Picture"/>
        <w:rPr/>
      </w:pPr>
      <w:r>
        <w:rPr/>
        <w:drawing>
          <wp:inline distT="0" distB="0" distL="0" distR="0">
            <wp:extent cx="3020695" cy="1909445"/>
            <wp:effectExtent l="0" t="0" r="0" b="0"/>
            <wp:docPr id="16"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descr="" title=""/>
                    <pic:cNvPicPr>
                      <a:picLocks noChangeAspect="1" noChangeArrowheads="1"/>
                    </pic:cNvPicPr>
                  </pic:nvPicPr>
                  <pic:blipFill>
                    <a:blip r:embed="rId26"/>
                    <a:srcRect l="-8" t="-15" r="-8" b="-15"/>
                    <a:stretch>
                      <a:fillRect/>
                    </a:stretch>
                  </pic:blipFill>
                  <pic:spPr bwMode="auto">
                    <a:xfrm>
                      <a:off x="0" y="0"/>
                      <a:ext cx="3020695" cy="1909445"/>
                    </a:xfrm>
                    <a:prstGeom prst="rect">
                      <a:avLst/>
                    </a:prstGeom>
                    <a:noFill/>
                  </pic:spPr>
                </pic:pic>
              </a:graphicData>
            </a:graphic>
          </wp:inline>
        </w:drawing>
      </w:r>
      <w:r>
        <w:rPr>
          <w:rFonts w:eastAsia="Arial"/>
        </w:rPr>
        <w:t xml:space="preserve"> </w:t>
      </w:r>
      <w:r>
        <w:rPr/>
        <w:drawing>
          <wp:inline distT="0" distB="0" distL="0" distR="0">
            <wp:extent cx="2970530" cy="1918970"/>
            <wp:effectExtent l="0" t="0" r="0" b="0"/>
            <wp:docPr id="17"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 descr="" title=""/>
                    <pic:cNvPicPr>
                      <a:picLocks noChangeAspect="1" noChangeArrowheads="1"/>
                    </pic:cNvPicPr>
                  </pic:nvPicPr>
                  <pic:blipFill>
                    <a:blip r:embed="rId27"/>
                    <a:srcRect l="-8" t="-15" r="-8" b="-15"/>
                    <a:stretch>
                      <a:fillRect/>
                    </a:stretch>
                  </pic:blipFill>
                  <pic:spPr bwMode="auto">
                    <a:xfrm>
                      <a:off x="0" y="0"/>
                      <a:ext cx="2970530" cy="1918970"/>
                    </a:xfrm>
                    <a:prstGeom prst="rect">
                      <a:avLst/>
                    </a:prstGeom>
                    <a:noFill/>
                  </pic:spPr>
                </pic:pic>
              </a:graphicData>
            </a:graphic>
          </wp:inline>
        </w:drawing>
      </w:r>
      <w:r>
        <w:rPr>
          <w:rFonts w:eastAsia="Arial"/>
          <w:sz w:val="16"/>
        </w:rPr>
        <w:t xml:space="preserve"> </w:t>
      </w:r>
      <w:r>
        <w:rPr>
          <w:sz w:val="16"/>
        </w:rPr>
        <w:t>Company universe includes AWK, CNL, D, DPL, DUK, FE, FPC, FPL, MDU, NCE, NI, NST, PCG, PE, PNW, REI, SCG, SO, SRP, TE, UIL and WEC</w:t>
      </w:r>
    </w:p>
    <w:p>
      <w:pPr>
        <w:pStyle w:val="Picture"/>
        <w:rPr>
          <w:sz w:val="16"/>
        </w:rPr>
      </w:pPr>
      <w:r>
        <w:rPr>
          <w:sz w:val="16"/>
        </w:rPr>
        <w:t>Source: Credit Suisse First Boston and Company reports</w:t>
      </w:r>
    </w:p>
    <w:p>
      <w:pPr>
        <w:sectPr>
          <w:headerReference w:type="default" r:id="rId28"/>
          <w:headerReference w:type="first" r:id="rId29"/>
          <w:footerReference w:type="default" r:id="rId30"/>
          <w:footerReference w:type="first" r:id="rId31"/>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Head1"/>
        <w:rPr/>
      </w:pPr>
      <w:bookmarkStart w:id="5" w:name="__RefHeading___Toc471702816"/>
      <w:bookmarkEnd w:id="5"/>
      <w:r>
        <w:rPr/>
        <w:t>New Valuation Metrics Primer</w:t>
      </w:r>
    </w:p>
    <w:p>
      <w:pPr>
        <w:pStyle w:val="Normal"/>
        <w:rPr/>
      </w:pPr>
      <w:r>
        <w:rPr/>
        <w:t xml:space="preserve">One of the basic tenants of value based analysis is that companies must earn returns on capital in excess of their cost of capital in order to create shareholder value. Companies that do earn excess returns on invested capital are valued at higher market premiums than those that do not. Said another way, companies that can earn the same returns with low investment requirements are valued higher relative to companies with high investment requirements. </w:t>
      </w:r>
    </w:p>
    <w:p>
      <w:pPr>
        <w:pStyle w:val="Normal"/>
        <w:rPr/>
      </w:pPr>
      <w:r>
        <w:rPr/>
        <w:t xml:space="preserve">For example, Company A and B both earn $3/share; Company A must invest $1/share to sustain these earnings, while Company B must invest $2/share to sustain the earnings. Which would you prefer? Ceteris paribus, Company A is worth twice as much as Company B. </w:t>
      </w:r>
    </w:p>
    <w:p>
      <w:pPr>
        <w:pStyle w:val="Normal"/>
        <w:rPr/>
      </w:pPr>
      <w:r>
        <w:rPr/>
        <w:t>The takeaway of this simplified example is that investors must look at the balance sheet along with the income statement to get a clear picture of the value of a company. What returns is a company getting for each dollar invested in its business? Are these return characteristics changing? What sort of investment rate will be necessary to achieve the company's top line growth targets? How could the company improve its capital efficiency? Is the company managing its inventory efficiently?  What does the current market premium/discount imply about the market's expectations of the company's future returns - are these expectations too high/low?</w:t>
      </w:r>
    </w:p>
    <w:p>
      <w:pPr>
        <w:pStyle w:val="Normal"/>
        <w:rPr/>
      </w:pPr>
      <w:r>
        <w:rPr/>
        <w:t>These questions highlight the value of the CSFB value based analysis in augmenting the qualitative and traditional analysis of companies. The rest of this section will outline the basic measurements used in this approach.</w:t>
      </w:r>
    </w:p>
    <w:p>
      <w:pPr>
        <w:pStyle w:val="Head2"/>
        <w:rPr>
          <w:lang w:eastAsia="en-US"/>
        </w:rPr>
      </w:pPr>
      <w:r>
        <w:rPr>
          <w:lang w:eastAsia="en-US"/>
        </w:rPr>
        <w:t>Return on Invested Capital ("ROIC")</w:t>
      </w:r>
    </w:p>
    <w:p>
      <w:pPr>
        <w:pStyle w:val="Normal"/>
        <w:rPr/>
      </w:pPr>
      <w:r>
        <w:rPr/>
        <w:t>ROIC is an invaluable tool for several key reasons:</w:t>
      </w:r>
    </w:p>
    <w:p>
      <w:pPr>
        <w:pStyle w:val="Normal"/>
        <w:numPr>
          <w:ilvl w:val="0"/>
          <w:numId w:val="8"/>
        </w:numPr>
        <w:rPr>
          <w:lang w:eastAsia="en-US"/>
        </w:rPr>
      </w:pPr>
      <w:r>
        <w:rPr>
          <w:rStyle w:val="Head4"/>
        </w:rPr>
        <w:t>Drives Market Premiums</w:t>
      </w:r>
      <w:r>
        <w:rPr>
          <w:color w:val="FFFFFF"/>
        </w:rPr>
        <w:t>—</w:t>
      </w:r>
      <w:r>
        <w:rPr/>
        <w:t>ROIC is compared to  a company's Weighted Average Cost of Capital ("WACC") to gauge shareholder value creation. T</w:t>
      </w:r>
      <w:r>
        <w:rPr>
          <w:lang w:eastAsia="en-US"/>
        </w:rPr>
        <w:t xml:space="preserve">he market values companies based on how efficiently they employ capital in high return investments.  CSFB regression analysis on utilities companies indicates that on average for the period 1994-1998, a strong, positive correlation exists that suggests that excess returns (ROIC-WACC) explain 60% of fluctuation in a company's market premium (Enterprise Value / Invested Capital). </w:t>
      </w:r>
    </w:p>
    <w:p>
      <w:pPr>
        <w:pStyle w:val="Normal"/>
        <w:numPr>
          <w:ilvl w:val="0"/>
          <w:numId w:val="8"/>
        </w:numPr>
        <w:rPr/>
      </w:pPr>
      <w:r>
        <w:rPr>
          <w:rStyle w:val="Head4"/>
        </w:rPr>
        <w:t>Measures Quality of Earnings</w:t>
      </w:r>
      <w:r>
        <w:rPr>
          <w:color w:val="FFFFFF"/>
        </w:rPr>
        <w:t>—</w:t>
      </w:r>
      <w:r>
        <w:rPr/>
        <w:t>ROIC includes the capital requirements of a business, which helps investors to evaluate the quality of earnings. For example, a company could be growing earnings at 25%, but this is only beneficial to shareholders if this growth results in excess returns on capital (ROIC-WACC&gt;0). In other words, companies should consider the cost of growth (investment requirements and capital charges) when evaluating investment opportunities.</w:t>
      </w:r>
    </w:p>
    <w:p>
      <w:pPr>
        <w:pStyle w:val="Normal"/>
        <w:numPr>
          <w:ilvl w:val="0"/>
          <w:numId w:val="8"/>
        </w:numPr>
        <w:rPr/>
      </w:pPr>
      <w:r>
        <w:rPr>
          <w:rStyle w:val="Head4"/>
        </w:rPr>
        <w:t>Avoids Accounting Distortions</w:t>
      </w:r>
      <w:r>
        <w:rPr>
          <w:color w:val="FFFFFF"/>
        </w:rPr>
        <w:t>—</w:t>
      </w:r>
      <w:r>
        <w:rPr/>
        <w:t xml:space="preserve">ROIC is not distorted by accounting decisions. Most people today are familiar with some of the accounting issues that can distort financial results of a company.  ROIC is insulated from these problems because the components of ROIC, NOPAT and Invested Capital, are adjusted for inconsistencies in GAAP treatment of pooling vs purchasing, LIFO vs FIFO, operating leases, and nonrecurring items. NOPAT is also unlevered, which keeps ROIC from being artificially impacted by changes in capital structure, as ROE is. These adjustments allow for comparability of companies across industry lines and without regard to the financing decisions of different companies. </w:t>
      </w:r>
    </w:p>
    <w:p>
      <w:pPr>
        <w:pStyle w:val="Normal"/>
        <w:rPr>
          <w:rFonts w:eastAsia="Arial"/>
        </w:rPr>
      </w:pPr>
      <w:r>
        <w:rPr>
          <w:rFonts w:eastAsia="Arial"/>
        </w:rPr>
        <w:t xml:space="preserve"> </w:t>
      </w:r>
    </w:p>
    <w:p>
      <w:pPr>
        <w:pStyle w:val="Normal"/>
        <w:rPr/>
      </w:pPr>
      <w:r>
        <w:rPr/>
        <w:t xml:space="preserve">ROIC can be calculated by either of two methods: </w:t>
      </w:r>
    </w:p>
    <w:p>
      <w:pPr>
        <w:pStyle w:val="Normal"/>
        <w:rPr/>
      </w:pPr>
      <w:r>
        <w:rPr/>
      </w:r>
    </w:p>
    <w:tbl>
      <w:tblPr>
        <w:tblW w:w="7200" w:type="dxa"/>
        <w:jc w:val="start"/>
        <w:tblInd w:w="108" w:type="dxa"/>
        <w:tblLayout w:type="fixed"/>
        <w:tblCellMar>
          <w:top w:w="0" w:type="dxa"/>
          <w:start w:w="108" w:type="dxa"/>
          <w:bottom w:w="0" w:type="dxa"/>
          <w:end w:w="108" w:type="dxa"/>
        </w:tblCellMar>
      </w:tblPr>
      <w:tblGrid>
        <w:gridCol w:w="360"/>
        <w:gridCol w:w="3060"/>
        <w:gridCol w:w="1530"/>
        <w:gridCol w:w="270"/>
        <w:gridCol w:w="1980"/>
      </w:tblGrid>
      <w:tr>
        <w:trPr/>
        <w:tc>
          <w:tcPr>
            <w:tcW w:w="360" w:type="dxa"/>
            <w:tcBorders/>
          </w:tcPr>
          <w:p>
            <w:pPr>
              <w:pStyle w:val="Normal"/>
              <w:spacing w:before="0" w:after="120"/>
              <w:rPr>
                <w:sz w:val="18"/>
              </w:rPr>
            </w:pPr>
            <w:r>
              <w:rPr>
                <w:sz w:val="18"/>
              </w:rPr>
              <w:t>1.</w:t>
            </w:r>
          </w:p>
        </w:tc>
        <w:tc>
          <w:tcPr>
            <w:tcW w:w="3060" w:type="dxa"/>
            <w:tcBorders/>
          </w:tcPr>
          <w:p>
            <w:pPr>
              <w:pStyle w:val="Normal"/>
              <w:spacing w:before="0" w:after="120"/>
              <w:jc w:val="end"/>
              <w:rPr>
                <w:i/>
                <w:i/>
                <w:sz w:val="18"/>
              </w:rPr>
            </w:pPr>
            <w:r>
              <w:rPr>
                <w:i/>
                <w:sz w:val="18"/>
              </w:rPr>
              <w:t>Aggregate Approach to ROIC =</w:t>
            </w:r>
          </w:p>
        </w:tc>
        <w:tc>
          <w:tcPr>
            <w:tcW w:w="3780" w:type="dxa"/>
            <w:gridSpan w:val="3"/>
            <w:tcBorders/>
          </w:tcPr>
          <w:p>
            <w:pPr>
              <w:pStyle w:val="Heading5"/>
              <w:pBdr>
                <w:bottom w:val="single" w:sz="6" w:space="1" w:color="000000"/>
              </w:pBdr>
              <w:tabs>
                <w:tab w:val="clear" w:pos="720"/>
                <w:tab w:val="left" w:pos="3402" w:leader="none"/>
              </w:tabs>
              <w:spacing w:before="60" w:after="0"/>
              <w:ind w:end="72"/>
              <w:rPr>
                <w:rFonts w:ascii="Times New Roman" w:hAnsi="Times New Roman" w:cs="Times New Roman"/>
                <w:b w:val="false"/>
                <w:sz w:val="18"/>
              </w:rPr>
            </w:pPr>
            <w:r>
              <w:rPr>
                <w:rFonts w:cs="Times New Roman" w:ascii="Times New Roman" w:hAnsi="Times New Roman"/>
                <w:b w:val="false"/>
                <w:sz w:val="18"/>
              </w:rPr>
              <w:t xml:space="preserve">NOPAT </w:t>
            </w:r>
          </w:p>
          <w:p>
            <w:pPr>
              <w:pStyle w:val="Heading5"/>
              <w:ind w:end="72"/>
              <w:rPr>
                <w:rFonts w:ascii="Times New Roman" w:hAnsi="Times New Roman" w:cs="Times New Roman"/>
                <w:b w:val="false"/>
                <w:sz w:val="16"/>
              </w:rPr>
            </w:pPr>
            <w:r>
              <w:rPr>
                <w:rFonts w:cs="Times New Roman" w:ascii="Times New Roman" w:hAnsi="Times New Roman"/>
                <w:b w:val="false"/>
                <w:sz w:val="18"/>
              </w:rPr>
              <w:t>Average Invested Capital</w:t>
            </w:r>
          </w:p>
        </w:tc>
      </w:tr>
      <w:tr>
        <w:trPr/>
        <w:tc>
          <w:tcPr>
            <w:tcW w:w="360" w:type="dxa"/>
            <w:tcBorders/>
            <w:vAlign w:val="center"/>
          </w:tcPr>
          <w:p>
            <w:pPr>
              <w:pStyle w:val="Normal"/>
              <w:snapToGrid w:val="false"/>
              <w:spacing w:before="0" w:after="120"/>
              <w:rPr>
                <w:rFonts w:ascii="Times New Roman" w:hAnsi="Times New Roman" w:cs="Times New Roman"/>
                <w:b w:val="false"/>
                <w:sz w:val="18"/>
              </w:rPr>
            </w:pPr>
            <w:r>
              <w:rPr>
                <w:rFonts w:cs="Times New Roman" w:ascii="Times New Roman" w:hAnsi="Times New Roman"/>
                <w:b w:val="false"/>
                <w:sz w:val="18"/>
              </w:rPr>
            </w:r>
          </w:p>
        </w:tc>
        <w:tc>
          <w:tcPr>
            <w:tcW w:w="3060" w:type="dxa"/>
            <w:tcBorders/>
            <w:vAlign w:val="center"/>
          </w:tcPr>
          <w:p>
            <w:pPr>
              <w:pStyle w:val="Normal"/>
              <w:snapToGrid w:val="false"/>
              <w:spacing w:before="0" w:after="120"/>
              <w:jc w:val="end"/>
              <w:rPr>
                <w:i/>
                <w:i/>
                <w:sz w:val="18"/>
              </w:rPr>
            </w:pPr>
            <w:r>
              <w:rPr>
                <w:i/>
                <w:sz w:val="18"/>
              </w:rPr>
            </w:r>
          </w:p>
        </w:tc>
        <w:tc>
          <w:tcPr>
            <w:tcW w:w="3780" w:type="dxa"/>
            <w:gridSpan w:val="3"/>
            <w:tcBorders/>
            <w:vAlign w:val="center"/>
          </w:tcPr>
          <w:p>
            <w:pPr>
              <w:pStyle w:val="Normal"/>
              <w:snapToGrid w:val="false"/>
              <w:spacing w:before="0" w:after="120"/>
              <w:rPr>
                <w:i/>
                <w:i/>
                <w:sz w:val="18"/>
              </w:rPr>
            </w:pPr>
            <w:r>
              <w:rPr>
                <w:i/>
                <w:sz w:val="18"/>
              </w:rPr>
            </w:r>
          </w:p>
        </w:tc>
      </w:tr>
      <w:tr>
        <w:trPr/>
        <w:tc>
          <w:tcPr>
            <w:tcW w:w="360" w:type="dxa"/>
            <w:tcBorders/>
          </w:tcPr>
          <w:p>
            <w:pPr>
              <w:pStyle w:val="Normal"/>
              <w:spacing w:before="0" w:after="120"/>
              <w:rPr>
                <w:sz w:val="18"/>
              </w:rPr>
            </w:pPr>
            <w:r>
              <w:rPr>
                <w:sz w:val="18"/>
              </w:rPr>
              <w:t>2.</w:t>
            </w:r>
          </w:p>
        </w:tc>
        <w:tc>
          <w:tcPr>
            <w:tcW w:w="3060" w:type="dxa"/>
            <w:tcBorders/>
          </w:tcPr>
          <w:p>
            <w:pPr>
              <w:pStyle w:val="Normal"/>
              <w:jc w:val="end"/>
              <w:rPr>
                <w:i/>
                <w:i/>
                <w:sz w:val="18"/>
              </w:rPr>
            </w:pPr>
            <w:r>
              <w:rPr>
                <w:i/>
                <w:sz w:val="18"/>
              </w:rPr>
              <w:t>Value Driver Approach to ROIC  =</w:t>
            </w:r>
          </w:p>
          <w:p>
            <w:pPr>
              <w:pStyle w:val="Normal"/>
              <w:jc w:val="end"/>
              <w:rPr>
                <w:i/>
                <w:i/>
                <w:sz w:val="18"/>
              </w:rPr>
            </w:pPr>
            <w:r>
              <w:rPr>
                <w:i/>
                <w:sz w:val="18"/>
              </w:rPr>
            </w:r>
          </w:p>
          <w:p>
            <w:pPr>
              <w:pStyle w:val="Normal"/>
              <w:rPr>
                <w:i/>
                <w:i/>
                <w:sz w:val="18"/>
              </w:rPr>
            </w:pPr>
            <w:r>
              <w:rPr>
                <w:i/>
                <w:sz w:val="18"/>
              </w:rPr>
            </w:r>
          </w:p>
          <w:p>
            <w:pPr>
              <w:pStyle w:val="Normal"/>
              <w:spacing w:before="0" w:after="120"/>
              <w:jc w:val="end"/>
              <w:rPr>
                <w:i/>
                <w:i/>
                <w:sz w:val="18"/>
              </w:rPr>
            </w:pPr>
            <w:r>
              <w:rPr>
                <w:i/>
                <w:sz w:val="18"/>
              </w:rPr>
              <w:t>=</w:t>
            </w:r>
          </w:p>
        </w:tc>
        <w:tc>
          <w:tcPr>
            <w:tcW w:w="1530" w:type="dxa"/>
            <w:tcBorders/>
          </w:tcPr>
          <w:p>
            <w:pPr>
              <w:pStyle w:val="Normal"/>
              <w:jc w:val="center"/>
              <w:rPr/>
            </w:pPr>
            <w:r>
              <w:rPr>
                <w:sz w:val="18"/>
                <w:u w:val="single"/>
              </w:rPr>
              <w:t>NOPAT</w:t>
            </w:r>
            <w:r>
              <w:rPr>
                <w:sz w:val="18"/>
              </w:rPr>
              <w:t xml:space="preserve">                 </w:t>
            </w:r>
            <w:r>
              <w:rPr>
                <w:sz w:val="18"/>
                <w:u w:val="single"/>
              </w:rPr>
              <w:t xml:space="preserve">     </w:t>
            </w:r>
            <w:r>
              <w:rPr>
                <w:sz w:val="18"/>
              </w:rPr>
              <w:t>Revenues</w:t>
            </w:r>
            <w:r>
              <w:rPr>
                <w:sz w:val="18"/>
                <w:u w:val="single"/>
              </w:rPr>
              <w:t xml:space="preserve">   </w:t>
            </w:r>
          </w:p>
          <w:p>
            <w:pPr>
              <w:pStyle w:val="Normal"/>
              <w:jc w:val="center"/>
              <w:rPr>
                <w:rFonts w:eastAsia="Arial"/>
                <w:sz w:val="18"/>
                <w:u w:val="single"/>
              </w:rPr>
            </w:pPr>
            <w:r>
              <w:rPr>
                <w:rFonts w:eastAsia="Arial"/>
                <w:sz w:val="18"/>
                <w:u w:val="single"/>
              </w:rPr>
              <w:t xml:space="preserve"> </w:t>
            </w:r>
          </w:p>
          <w:p>
            <w:pPr>
              <w:pStyle w:val="Normal"/>
              <w:spacing w:before="0" w:after="120"/>
              <w:jc w:val="center"/>
              <w:rPr/>
            </w:pPr>
            <w:r>
              <w:rPr>
                <w:sz w:val="18"/>
              </w:rPr>
              <w:t>NOPAT margin</w:t>
            </w:r>
            <w:r>
              <w:rPr>
                <w:sz w:val="18"/>
                <w:u w:val="single"/>
              </w:rPr>
              <w:t xml:space="preserve"> </w:t>
            </w:r>
          </w:p>
        </w:tc>
        <w:tc>
          <w:tcPr>
            <w:tcW w:w="270" w:type="dxa"/>
            <w:tcBorders/>
          </w:tcPr>
          <w:p>
            <w:pPr>
              <w:pStyle w:val="Normal"/>
              <w:jc w:val="center"/>
              <w:rPr>
                <w:sz w:val="18"/>
              </w:rPr>
            </w:pPr>
            <w:r>
              <w:rPr>
                <w:sz w:val="18"/>
              </w:rPr>
              <w:t>*</w:t>
            </w:r>
          </w:p>
          <w:p>
            <w:pPr>
              <w:pStyle w:val="Normal"/>
              <w:jc w:val="center"/>
              <w:rPr>
                <w:sz w:val="18"/>
              </w:rPr>
            </w:pPr>
            <w:r>
              <w:rPr>
                <w:sz w:val="18"/>
              </w:rPr>
            </w:r>
          </w:p>
          <w:p>
            <w:pPr>
              <w:pStyle w:val="Normal"/>
              <w:jc w:val="center"/>
              <w:rPr>
                <w:sz w:val="18"/>
              </w:rPr>
            </w:pPr>
            <w:r>
              <w:rPr>
                <w:sz w:val="18"/>
              </w:rPr>
            </w:r>
          </w:p>
          <w:p>
            <w:pPr>
              <w:pStyle w:val="Normal"/>
              <w:spacing w:before="0" w:after="120"/>
              <w:jc w:val="center"/>
              <w:rPr>
                <w:sz w:val="18"/>
              </w:rPr>
            </w:pPr>
            <w:r>
              <w:rPr>
                <w:sz w:val="18"/>
              </w:rPr>
              <w:t>*</w:t>
            </w:r>
          </w:p>
        </w:tc>
        <w:tc>
          <w:tcPr>
            <w:tcW w:w="1980" w:type="dxa"/>
            <w:tcBorders/>
          </w:tcPr>
          <w:p>
            <w:pPr>
              <w:pStyle w:val="Normal"/>
              <w:jc w:val="center"/>
              <w:rPr/>
            </w:pPr>
            <w:r>
              <w:rPr>
                <w:sz w:val="18"/>
                <w:u w:val="single"/>
              </w:rPr>
              <w:t xml:space="preserve">Revenues     </w:t>
            </w:r>
            <w:r>
              <w:rPr>
                <w:sz w:val="18"/>
              </w:rPr>
              <w:t xml:space="preserve">              Average Invested Capital</w:t>
            </w:r>
          </w:p>
          <w:p>
            <w:pPr>
              <w:pStyle w:val="Normal"/>
              <w:jc w:val="center"/>
              <w:rPr>
                <w:sz w:val="18"/>
              </w:rPr>
            </w:pPr>
            <w:r>
              <w:rPr>
                <w:sz w:val="18"/>
              </w:rPr>
            </w:r>
          </w:p>
          <w:p>
            <w:pPr>
              <w:pStyle w:val="Normal"/>
              <w:spacing w:before="0" w:after="120"/>
              <w:jc w:val="center"/>
              <w:rPr>
                <w:sz w:val="18"/>
              </w:rPr>
            </w:pPr>
            <w:r>
              <w:rPr>
                <w:sz w:val="18"/>
              </w:rPr>
              <w:t>Capital Turns</w:t>
            </w:r>
          </w:p>
        </w:tc>
      </w:tr>
    </w:tbl>
    <w:p>
      <w:pPr>
        <w:pStyle w:val="Normal"/>
        <w:rPr/>
      </w:pPr>
      <w:r>
        <w:rPr/>
      </w:r>
    </w:p>
    <w:p>
      <w:pPr>
        <w:pStyle w:val="Normal"/>
        <w:rPr/>
      </w:pPr>
      <w:r>
        <w:rPr/>
        <w:t>ROIC is attractive because it is cash-on-cash, it takes into account the capital intensity of a business (Invested Capital), and it avoids accounting distortions (unlevered operating earnings, LIFO/FIFO adjustments, Pooling vs. Purchase accounting)</w:t>
      </w:r>
    </w:p>
    <w:p>
      <w:pPr>
        <w:pStyle w:val="Head2"/>
        <w:rPr/>
      </w:pPr>
      <w:r>
        <w:rPr/>
        <w:t xml:space="preserve">ROIC Value Drivers - NOPAT Margins &amp; Capital Turns </w:t>
      </w:r>
    </w:p>
    <w:tbl>
      <w:tblPr>
        <w:tblW w:w="7209" w:type="dxa"/>
        <w:jc w:val="center"/>
        <w:tblInd w:w="0" w:type="dxa"/>
        <w:tblLayout w:type="fixed"/>
        <w:tblCellMar>
          <w:top w:w="0" w:type="dxa"/>
          <w:start w:w="108" w:type="dxa"/>
          <w:bottom w:w="0" w:type="dxa"/>
          <w:end w:w="108" w:type="dxa"/>
        </w:tblCellMar>
      </w:tblPr>
      <w:tblGrid>
        <w:gridCol w:w="2628"/>
        <w:gridCol w:w="4581"/>
      </w:tblGrid>
      <w:tr>
        <w:trPr/>
        <w:tc>
          <w:tcPr>
            <w:tcW w:w="2628" w:type="dxa"/>
            <w:tcBorders/>
            <w:vAlign w:val="center"/>
          </w:tcPr>
          <w:p>
            <w:pPr>
              <w:pStyle w:val="Normal"/>
              <w:pBdr/>
              <w:spacing w:before="0" w:after="120"/>
              <w:jc w:val="center"/>
              <w:rPr/>
            </w:pPr>
            <w:r>
              <w:rPr/>
              <w:t>NOPAT Margins:</w:t>
            </w:r>
          </w:p>
        </w:tc>
        <w:tc>
          <w:tcPr>
            <w:tcW w:w="4581" w:type="dxa"/>
            <w:tcBorders/>
          </w:tcPr>
          <w:p>
            <w:pPr>
              <w:pStyle w:val="Normal"/>
              <w:pBdr/>
              <w:jc w:val="center"/>
              <w:rPr/>
            </w:pPr>
            <w:r>
              <w:rPr/>
              <w:t>(EBIT + goodwill amortization)*(1 - Cash tax rate)</w:t>
            </w:r>
          </w:p>
          <w:p>
            <w:pPr>
              <w:pStyle w:val="Normal"/>
              <w:pBdr/>
              <w:spacing w:before="0" w:after="120"/>
              <w:jc w:val="center"/>
              <w:rPr/>
            </w:pPr>
            <w:r>
              <w:rPr/>
              <w:t>Total Revenues</w:t>
            </w:r>
          </w:p>
        </w:tc>
      </w:tr>
      <w:tr>
        <w:trPr/>
        <w:tc>
          <w:tcPr>
            <w:tcW w:w="2628" w:type="dxa"/>
            <w:tcBorders/>
            <w:vAlign w:val="center"/>
          </w:tcPr>
          <w:p>
            <w:pPr>
              <w:pStyle w:val="Normal"/>
              <w:pBdr/>
              <w:snapToGrid w:val="false"/>
              <w:spacing w:before="0" w:after="120"/>
              <w:jc w:val="center"/>
              <w:rPr/>
            </w:pPr>
            <w:r>
              <w:rPr/>
            </w:r>
          </w:p>
        </w:tc>
        <w:tc>
          <w:tcPr>
            <w:tcW w:w="4581" w:type="dxa"/>
            <w:tcBorders/>
          </w:tcPr>
          <w:p>
            <w:pPr>
              <w:pStyle w:val="Normal"/>
              <w:pBdr/>
              <w:snapToGrid w:val="false"/>
              <w:spacing w:before="0" w:after="120"/>
              <w:jc w:val="center"/>
              <w:rPr/>
            </w:pPr>
            <w:r>
              <w:rPr/>
            </w:r>
          </w:p>
        </w:tc>
      </w:tr>
      <w:tr>
        <w:trPr/>
        <w:tc>
          <w:tcPr>
            <w:tcW w:w="2628" w:type="dxa"/>
            <w:tcBorders/>
            <w:vAlign w:val="center"/>
          </w:tcPr>
          <w:p>
            <w:pPr>
              <w:pStyle w:val="Normal"/>
              <w:pBdr/>
              <w:spacing w:before="0" w:after="120"/>
              <w:jc w:val="center"/>
              <w:rPr/>
            </w:pPr>
            <w:r>
              <w:rPr/>
              <w:t>Invested Capital Turns:</w:t>
            </w:r>
          </w:p>
        </w:tc>
        <w:tc>
          <w:tcPr>
            <w:tcW w:w="4581" w:type="dxa"/>
            <w:tcBorders/>
          </w:tcPr>
          <w:p>
            <w:pPr>
              <w:pStyle w:val="Normal"/>
              <w:pBdr/>
              <w:jc w:val="center"/>
              <w:rPr/>
            </w:pPr>
            <w:r>
              <w:rPr/>
              <w:t>Total Revenues</w:t>
            </w:r>
          </w:p>
          <w:p>
            <w:pPr>
              <w:pStyle w:val="Normal"/>
              <w:pBdr/>
              <w:spacing w:before="0" w:after="120"/>
              <w:jc w:val="center"/>
              <w:rPr/>
            </w:pPr>
            <w:r>
              <w:rPr/>
              <w:t>(Working Capital + net Capital Expenditures + Acquisitions net of Divestitures + Gross Goodwill)</w:t>
            </w:r>
          </w:p>
        </w:tc>
      </w:tr>
    </w:tbl>
    <w:p>
      <w:pPr>
        <w:pStyle w:val="Normal"/>
        <w:rPr/>
      </w:pPr>
      <w:r>
        <w:rPr/>
      </w:r>
    </w:p>
    <w:p>
      <w:pPr>
        <w:pStyle w:val="Normal"/>
        <w:rPr/>
      </w:pPr>
      <w:r>
        <w:rPr/>
        <w:t>Examination of NOPAT margins and Invested Capital turns can provide valuable insight into what area of a company's operations is driving ROIC. It is important to consider changes in these ratios in tandem to understand the full picture.</w:t>
      </w:r>
    </w:p>
    <w:p>
      <w:pPr>
        <w:pStyle w:val="Head3"/>
        <w:rPr/>
      </w:pPr>
      <w:r>
        <w:rPr/>
        <w:t>Trends</w:t>
      </w:r>
    </w:p>
    <w:p>
      <w:pPr>
        <w:pStyle w:val="Normal"/>
        <w:rPr/>
      </w:pPr>
      <w:r>
        <w:rPr/>
        <w:t xml:space="preserve">Investors can identify important shifts in the economics of businesses by watching NOPAT margins and Invested Capital turns over time. </w:t>
      </w:r>
    </w:p>
    <w:p>
      <w:pPr>
        <w:pStyle w:val="Head3"/>
        <w:rPr/>
      </w:pPr>
      <w:r>
        <w:rPr/>
        <w:t>Comparability</w:t>
      </w:r>
    </w:p>
    <w:p>
      <w:pPr>
        <w:pStyle w:val="Normal"/>
        <w:rPr/>
      </w:pPr>
      <w:r>
        <w:rPr/>
        <w:t xml:space="preserve">Investors can use these measures to compare the operating characteristics and capital requirements of businesses regardless of industry. This is possible because of the unlevered cash nature of NOPAT and the adjustment of Invested Capital to account for operating leases, R&amp;D expenses, LIFO reserves, and pooling accounting. </w:t>
      </w:r>
    </w:p>
    <w:p>
      <w:pPr>
        <w:pStyle w:val="Head3"/>
        <w:rPr/>
      </w:pPr>
      <w:r>
        <w:rPr/>
        <w:t>Application - Examples</w:t>
      </w:r>
    </w:p>
    <w:p>
      <w:pPr>
        <w:pStyle w:val="Normal"/>
        <w:rPr/>
      </w:pPr>
      <w:r>
        <w:rPr/>
        <w:t xml:space="preserve">As companies make acquisitions, move into new business lines, or simply expand, their returns on capital also change. An investor can better understand these changes in ROIC by focusing on the components of ROIC. </w:t>
      </w:r>
    </w:p>
    <w:p>
      <w:pPr>
        <w:pStyle w:val="Normal"/>
        <w:numPr>
          <w:ilvl w:val="0"/>
          <w:numId w:val="6"/>
        </w:numPr>
        <w:rPr/>
      </w:pPr>
      <w:r>
        <w:rPr/>
        <w:t>If Invested Capital turns are driving ROIC, what is driving these capital turns - working capital management, acquisition of new businesses, divestment of lower-return assets, expansion into new businesses?</w:t>
      </w:r>
    </w:p>
    <w:p>
      <w:pPr>
        <w:pStyle w:val="Normal"/>
        <w:numPr>
          <w:ilvl w:val="0"/>
          <w:numId w:val="6"/>
        </w:numPr>
        <w:rPr>
          <w:color w:val="0000FF"/>
        </w:rPr>
      </w:pPr>
      <w:r>
        <w:rPr/>
        <w:t>If NOPAT margins are driving ROIC, how has the company achieved this - pricing pressure, economies of scale, inflation, labor or rent increases or decreases, cash taxes, an acquisition, a shift to a new business line with different margins?</w:t>
      </w:r>
    </w:p>
    <w:p>
      <w:pPr>
        <w:pStyle w:val="Normal"/>
        <w:numPr>
          <w:ilvl w:val="0"/>
          <w:numId w:val="6"/>
        </w:numPr>
        <w:rPr>
          <w:color w:val="0000FF"/>
        </w:rPr>
      </w:pPr>
      <w:r>
        <w:rPr>
          <w:color w:val="0000FF"/>
        </w:rPr>
      </w:r>
    </w:p>
    <w:p>
      <w:pPr>
        <w:pStyle w:val="Head2"/>
        <w:rPr/>
      </w:pPr>
      <w:r>
        <w:rPr/>
        <w:t>Economic Profit</w:t>
      </w:r>
    </w:p>
    <w:p>
      <w:pPr>
        <w:pStyle w:val="Normal"/>
        <w:rPr/>
      </w:pPr>
      <w:r>
        <w:rPr/>
        <w:t>Economic profit is a valuable complement to ROIC - WACC, which indicates the degree of value creation, because Economic Profit tells investors the dollar amount of value that has been created/destroyed in a given period. As shown below, to calculate economic profit, we take the unlevered cash earnings of a business and subtract a "capital charge" that represents the "economic rent" of all the capital that a company has invested. Economic profit can be represented using CSFB metrics as follows:</w:t>
      </w:r>
    </w:p>
    <w:tbl>
      <w:tblPr>
        <w:tblW w:w="4410" w:type="dxa"/>
        <w:jc w:val="center"/>
        <w:tblInd w:w="0" w:type="dxa"/>
        <w:tblLayout w:type="fixed"/>
        <w:tblCellMar>
          <w:top w:w="0" w:type="dxa"/>
          <w:start w:w="108" w:type="dxa"/>
          <w:bottom w:w="0" w:type="dxa"/>
          <w:end w:w="108" w:type="dxa"/>
        </w:tblCellMar>
      </w:tblPr>
      <w:tblGrid>
        <w:gridCol w:w="4410"/>
      </w:tblGrid>
      <w:tr>
        <w:trPr/>
        <w:tc>
          <w:tcPr>
            <w:tcW w:w="4410" w:type="dxa"/>
            <w:tcBorders/>
          </w:tcPr>
          <w:p>
            <w:pPr>
              <w:pStyle w:val="Normal"/>
              <w:snapToGrid w:val="false"/>
              <w:jc w:val="center"/>
              <w:rPr>
                <w:sz w:val="18"/>
              </w:rPr>
            </w:pPr>
            <w:r>
              <w:rPr>
                <w:sz w:val="18"/>
              </w:rPr>
            </w:r>
          </w:p>
          <w:p>
            <w:pPr>
              <w:pStyle w:val="Normal"/>
              <w:jc w:val="center"/>
              <w:rPr>
                <w:sz w:val="18"/>
              </w:rPr>
            </w:pPr>
            <w:r>
              <w:rPr>
                <w:sz w:val="18"/>
              </w:rPr>
              <w:t>EP = NOPAT - (WACC * Average Invested Capital)</w:t>
            </w:r>
          </w:p>
          <w:p>
            <w:pPr>
              <w:pStyle w:val="Normal"/>
              <w:jc w:val="center"/>
              <w:rPr>
                <w:i/>
                <w:i/>
                <w:sz w:val="18"/>
              </w:rPr>
            </w:pPr>
            <w:r>
              <w:rPr>
                <w:i/>
                <w:sz w:val="18"/>
              </w:rPr>
              <w:t>Or, stated differently,</w:t>
            </w:r>
          </w:p>
          <w:p>
            <w:pPr>
              <w:pStyle w:val="Normal"/>
              <w:spacing w:before="0" w:after="120"/>
              <w:jc w:val="center"/>
              <w:rPr>
                <w:sz w:val="18"/>
              </w:rPr>
            </w:pPr>
            <w:r>
              <w:rPr>
                <w:sz w:val="18"/>
              </w:rPr>
              <w:t>EP = (ROIC - WACC) * Average Invested Capital</w:t>
            </w:r>
          </w:p>
        </w:tc>
      </w:tr>
    </w:tbl>
    <w:p>
      <w:pPr>
        <w:pStyle w:val="Normal"/>
        <w:rPr/>
      </w:pPr>
      <w:r>
        <w:rPr/>
      </w:r>
    </w:p>
    <w:p>
      <w:pPr>
        <w:pStyle w:val="Normal"/>
        <w:rPr>
          <w:lang w:eastAsia="en-US"/>
        </w:rPr>
      </w:pPr>
      <w:r>
        <w:rPr>
          <w:lang w:eastAsia="en-US"/>
        </w:rPr>
        <w:t>We believe that a complete picture of a company's value must consider some measure of cash flow, some measure of risk, and some measure of forecast horizon.</w:t>
        <w:tab/>
      </w:r>
      <w:r>
        <mc:AlternateContent>
          <mc:Choice Requires="wps">
            <w:drawing>
              <wp:anchor behindDoc="0" distT="0" distB="0" distL="0" distR="0" simplePos="0" locked="0" layoutInCell="0" allowOverlap="1" relativeHeight="15">
                <wp:simplePos x="0" y="0"/>
                <wp:positionH relativeFrom="page">
                  <wp:posOffset>805180</wp:posOffset>
                </wp:positionH>
                <wp:positionV relativeFrom="paragraph">
                  <wp:posOffset>19050</wp:posOffset>
                </wp:positionV>
                <wp:extent cx="1280160" cy="298450"/>
                <wp:effectExtent l="0" t="0" r="0" b="0"/>
                <wp:wrapSquare wrapText="bothSides"/>
                <wp:docPr id="19" name="Frame4"/>
                <a:graphic xmlns:a="http://schemas.openxmlformats.org/drawingml/2006/main">
                  <a:graphicData uri="http://schemas.microsoft.com/office/word/2010/wordprocessingShape">
                    <wps:wsp>
                      <wps:cNvSpPr txBox="1"/>
                      <wps:spPr>
                        <a:xfrm>
                          <a:off x="0" y="0"/>
                          <a:ext cx="1280160" cy="298450"/>
                        </a:xfrm>
                        <a:prstGeom prst="rect"/>
                        <a:solidFill>
                          <a:srgbClr val="FFFFFF">
                            <a:alpha val="0"/>
                          </a:srgbClr>
                        </a:solidFill>
                      </wps:spPr>
                      <wps:txbx>
                        <w:txbxContent>
                          <w:p>
                            <w:pPr>
                              <w:pStyle w:val="Heading2"/>
                              <w:spacing w:before="10" w:after="0"/>
                              <w:ind w:hanging="0" w:start="0"/>
                              <w:rPr/>
                            </w:pPr>
                            <w:r>
                              <w:rPr/>
                              <w:t>Three Components of Value</w:t>
                            </w:r>
                          </w:p>
                        </w:txbxContent>
                      </wps:txbx>
                      <wps:bodyPr anchor="t" lIns="0" tIns="0" rIns="0" bIns="0">
                        <a:noAutofit/>
                      </wps:bodyPr>
                    </wps:wsp>
                  </a:graphicData>
                </a:graphic>
              </wp:anchor>
            </w:drawing>
          </mc:Choice>
          <mc:Fallback>
            <w:pict>
              <v:rect fillcolor="#FFFFFF" style="position:absolute;rotation:-0;width:100.8pt;height:23.5pt;mso-wrap-distance-left:0pt;mso-wrap-distance-right:0pt;mso-wrap-distance-top:0pt;mso-wrap-distance-bottom:0pt;margin-top:1.5pt;mso-position-vertical-relative:text;margin-left:63.4pt;mso-position-horizontal-relative:page">
                <v:fill opacity="0f"/>
                <v:textbox inset="0in,0in,0in,0in">
                  <w:txbxContent>
                    <w:p>
                      <w:pPr>
                        <w:pStyle w:val="Heading2"/>
                        <w:spacing w:before="10" w:after="0"/>
                        <w:ind w:hanging="0" w:start="0"/>
                        <w:rPr/>
                      </w:pPr>
                      <w:r>
                        <w:rPr/>
                        <w:t>Three Components of Value</w:t>
                      </w:r>
                    </w:p>
                  </w:txbxContent>
                </v:textbox>
                <w10:wrap type="square"/>
              </v:rect>
            </w:pict>
          </mc:Fallback>
        </mc:AlternateContent>
      </w:r>
    </w:p>
    <w:p>
      <w:pPr>
        <w:pStyle w:val="Normal"/>
        <w:rPr>
          <w:lang w:eastAsia="en-US"/>
        </w:rPr>
      </w:pPr>
      <w:r>
        <w:rPr>
          <w:lang w:eastAsia="en-US"/>
        </w:rPr>
      </w:r>
    </w:p>
    <w:tbl>
      <w:tblPr>
        <w:tblW w:w="7200" w:type="dxa"/>
        <w:jc w:val="start"/>
        <w:tblInd w:w="108" w:type="dxa"/>
        <w:tblLayout w:type="fixed"/>
        <w:tblCellMar>
          <w:top w:w="0" w:type="dxa"/>
          <w:start w:w="108" w:type="dxa"/>
          <w:bottom w:w="0" w:type="dxa"/>
          <w:end w:w="108" w:type="dxa"/>
        </w:tblCellMar>
      </w:tblPr>
      <w:tblGrid>
        <w:gridCol w:w="2610"/>
        <w:gridCol w:w="2250"/>
        <w:gridCol w:w="2340"/>
      </w:tblGrid>
      <w:tr>
        <w:trPr>
          <w:trHeight w:val="460" w:hRule="atLeast"/>
        </w:trPr>
        <w:tc>
          <w:tcPr>
            <w:tcW w:w="7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120"/>
              <w:jc w:val="center"/>
              <w:rPr>
                <w:sz w:val="24"/>
                <w:lang w:eastAsia="en-US"/>
              </w:rPr>
            </w:pPr>
            <w:r>
              <w:rPr>
                <w:b/>
                <w:sz w:val="24"/>
                <w:lang w:eastAsia="en-US"/>
              </w:rPr>
              <w:t>Shareholder Value</w:t>
            </w:r>
          </w:p>
        </w:tc>
      </w:tr>
      <w:tr>
        <w:trPr/>
        <w:tc>
          <w:tcPr>
            <w:tcW w:w="2610" w:type="dxa"/>
            <w:tcBorders>
              <w:start w:val="single" w:sz="4" w:space="0" w:color="000000"/>
              <w:end w:val="single" w:sz="4" w:space="0" w:color="000000"/>
            </w:tcBorders>
            <w:vAlign w:val="center"/>
          </w:tcPr>
          <w:p>
            <w:pPr>
              <w:pStyle w:val="Normal"/>
              <w:spacing w:before="0" w:after="120"/>
              <w:jc w:val="center"/>
              <w:rPr>
                <w:b/>
                <w:lang w:eastAsia="en-US"/>
              </w:rPr>
            </w:pPr>
            <w:r>
              <w:rPr>
                <w:b/>
                <w:lang w:eastAsia="en-US"/>
              </w:rPr>
              <w:t>Cash Flow</w:t>
            </w:r>
          </w:p>
        </w:tc>
        <w:tc>
          <w:tcPr>
            <w:tcW w:w="2250" w:type="dxa"/>
            <w:tcBorders>
              <w:start w:val="single" w:sz="4" w:space="0" w:color="000000"/>
              <w:end w:val="single" w:sz="4" w:space="0" w:color="000000"/>
            </w:tcBorders>
            <w:vAlign w:val="center"/>
          </w:tcPr>
          <w:p>
            <w:pPr>
              <w:pStyle w:val="Normal"/>
              <w:spacing w:before="0" w:after="120"/>
              <w:jc w:val="center"/>
              <w:rPr>
                <w:b/>
                <w:lang w:eastAsia="en-US"/>
              </w:rPr>
            </w:pPr>
            <w:r>
              <w:rPr>
                <w:b/>
                <w:lang w:eastAsia="en-US"/>
              </w:rPr>
              <w:t>Risk</w:t>
            </w:r>
          </w:p>
        </w:tc>
        <w:tc>
          <w:tcPr>
            <w:tcW w:w="2340" w:type="dxa"/>
            <w:tcBorders>
              <w:start w:val="single" w:sz="4" w:space="0" w:color="000000"/>
              <w:end w:val="single" w:sz="4" w:space="0" w:color="000000"/>
            </w:tcBorders>
            <w:vAlign w:val="center"/>
          </w:tcPr>
          <w:p>
            <w:pPr>
              <w:pStyle w:val="Normal"/>
              <w:spacing w:before="0" w:after="120"/>
              <w:jc w:val="center"/>
              <w:rPr>
                <w:b/>
                <w:lang w:eastAsia="en-US"/>
              </w:rPr>
            </w:pPr>
            <w:r>
              <w:rPr>
                <w:b/>
                <w:lang w:eastAsia="en-US"/>
              </w:rPr>
              <w:t>Forecast Horizon</w:t>
            </w:r>
          </w:p>
        </w:tc>
      </w:tr>
      <w:tr>
        <w:trPr/>
        <w:tc>
          <w:tcPr>
            <w:tcW w:w="2610" w:type="dxa"/>
            <w:tcBorders>
              <w:start w:val="single" w:sz="4" w:space="0" w:color="000000"/>
              <w:bottom w:val="single" w:sz="4" w:space="0" w:color="000000"/>
              <w:end w:val="single" w:sz="4" w:space="0" w:color="000000"/>
            </w:tcBorders>
            <w:vAlign w:val="center"/>
          </w:tcPr>
          <w:p>
            <w:pPr>
              <w:pStyle w:val="Normal"/>
              <w:spacing w:before="0" w:after="120"/>
              <w:jc w:val="center"/>
              <w:rPr>
                <w:lang w:eastAsia="en-US"/>
              </w:rPr>
            </w:pPr>
            <w:r>
              <w:rPr>
                <w:lang w:eastAsia="en-US"/>
              </w:rPr>
              <w:t>(FCF = NOPAT - Investment)</w:t>
            </w:r>
          </w:p>
        </w:tc>
        <w:tc>
          <w:tcPr>
            <w:tcW w:w="2250" w:type="dxa"/>
            <w:tcBorders>
              <w:start w:val="single" w:sz="4" w:space="0" w:color="000000"/>
              <w:bottom w:val="single" w:sz="4" w:space="0" w:color="000000"/>
              <w:end w:val="single" w:sz="4" w:space="0" w:color="000000"/>
            </w:tcBorders>
            <w:vAlign w:val="center"/>
          </w:tcPr>
          <w:p>
            <w:pPr>
              <w:pStyle w:val="Normal"/>
              <w:spacing w:before="0" w:after="120"/>
              <w:jc w:val="center"/>
              <w:rPr>
                <w:lang w:eastAsia="en-US"/>
              </w:rPr>
            </w:pPr>
            <w:r>
              <w:rPr>
                <w:lang w:eastAsia="en-US"/>
              </w:rPr>
              <w:t>(WACC)</w:t>
            </w:r>
          </w:p>
        </w:tc>
        <w:tc>
          <w:tcPr>
            <w:tcW w:w="2340" w:type="dxa"/>
            <w:tcBorders>
              <w:start w:val="single" w:sz="4" w:space="0" w:color="000000"/>
              <w:bottom w:val="single" w:sz="4" w:space="0" w:color="000000"/>
              <w:end w:val="single" w:sz="4" w:space="0" w:color="000000"/>
            </w:tcBorders>
            <w:vAlign w:val="center"/>
          </w:tcPr>
          <w:p>
            <w:pPr>
              <w:pStyle w:val="Normal"/>
              <w:spacing w:before="0" w:after="120"/>
              <w:jc w:val="center"/>
              <w:rPr>
                <w:lang w:eastAsia="en-US"/>
              </w:rPr>
            </w:pPr>
            <w:r>
              <w:rPr>
                <w:lang w:eastAsia="en-US"/>
              </w:rPr>
              <w:t>(CAP)</w:t>
            </w:r>
          </w:p>
        </w:tc>
      </w:tr>
    </w:tbl>
    <w:p>
      <w:pPr>
        <w:pStyle w:val="Heading3"/>
        <w:spacing w:before="0" w:after="0"/>
        <w:ind w:hanging="0" w:start="0"/>
        <w:rPr>
          <w:lang w:eastAsia="en-US"/>
        </w:rPr>
      </w:pPr>
      <w:r>
        <w:rPr>
          <w:lang w:eastAsia="en-US"/>
        </w:rPr>
        <w:t>Cash Flow</w:t>
      </w:r>
    </w:p>
    <w:p>
      <w:pPr>
        <w:pStyle w:val="Normal"/>
        <w:rPr>
          <w:lang w:eastAsia="en-US"/>
        </w:rPr>
      </w:pPr>
      <w:r>
        <w:rPr>
          <w:lang w:eastAsia="en-US"/>
        </w:rPr>
        <w:t>Free cash flow has two components - cash earnings and future investments.</w:t>
      </w:r>
    </w:p>
    <w:p>
      <w:pPr>
        <w:pStyle w:val="Head3"/>
        <w:rPr>
          <w:lang w:eastAsia="en-US"/>
        </w:rPr>
      </w:pPr>
      <w:r>
        <w:rPr>
          <w:lang w:eastAsia="en-US"/>
        </w:rPr>
        <w:t>NOPAT</w:t>
        <w:tab/>
      </w:r>
    </w:p>
    <w:p>
      <w:pPr>
        <w:pStyle w:val="Normal"/>
        <w:rPr>
          <w:lang w:eastAsia="en-US"/>
        </w:rPr>
      </w:pPr>
      <w:r>
        <w:rPr>
          <w:lang w:eastAsia="en-US"/>
        </w:rPr>
        <w:t xml:space="preserve">We call the cash earnings piece "NOPAT", for Net Operating Profit After Tax.  NOPAT is the unlevered cash earnings of a business. To calculate it, we take operating income (EBIT), adjust it for cash taxes paid and the value of the tax shield from interest expense, and add back non-tax-deductible, non-cash amortization of goodwill.  </w:t>
      </w:r>
    </w:p>
    <w:p>
      <w:pPr>
        <w:sectPr>
          <w:headerReference w:type="default" r:id="rId32"/>
          <w:headerReference w:type="first" r:id="rId33"/>
          <w:footerReference w:type="default" r:id="rId34"/>
          <w:footerReference w:type="first" r:id="rId35"/>
          <w:type w:val="nextPage"/>
          <w:pgSz w:w="12240" w:h="15840"/>
          <w:pgMar w:left="3816" w:right="1195" w:gutter="0" w:header="547" w:top="1627" w:footer="360" w:bottom="1080"/>
          <w:pgNumType w:fmt="decimal"/>
          <w:formProt w:val="false"/>
          <w:textDirection w:val="lrTb"/>
          <w:docGrid w:type="default" w:linePitch="360" w:charSpace="0"/>
        </w:sectPr>
        <w:pStyle w:val="Normal"/>
        <w:rPr>
          <w:lang w:eastAsia="en-US"/>
        </w:rPr>
      </w:pPr>
      <w:r>
        <w:rPr>
          <w:lang w:eastAsia="en-US"/>
        </w:rPr>
        <w:t xml:space="preserve">The three drivers of NOPAT are sales, EBITA margin, &amp; cash taxes. </w:t>
      </w:r>
    </w:p>
    <w:p>
      <w:pPr>
        <w:pStyle w:val="Head3"/>
        <w:rPr>
          <w:lang w:eastAsia="en-US"/>
        </w:rPr>
      </w:pPr>
      <w:r>
        <w:rPr>
          <w:lang w:eastAsia="en-US"/>
        </w:rPr>
        <w:t>Investment</w:t>
      </w:r>
    </w:p>
    <w:p>
      <w:pPr>
        <w:pStyle w:val="Normal"/>
        <w:rPr>
          <w:lang w:eastAsia="en-US"/>
        </w:rPr>
      </w:pPr>
      <w:r>
        <w:rPr>
          <w:lang w:eastAsia="en-US"/>
        </w:rPr>
        <w:t xml:space="preserve">Invested capital is the sum of net working capital, net fixed capital, gross goodwill, and any other operating assets. Invested capital represents the amount of capital that has been invested in the business over time. </w:t>
      </w:r>
    </w:p>
    <w:p>
      <w:pPr>
        <w:pStyle w:val="Normal"/>
        <w:rPr>
          <w:lang w:eastAsia="en-US"/>
        </w:rPr>
      </w:pPr>
      <w:r>
        <w:rPr>
          <w:lang w:eastAsia="en-US"/>
        </w:rPr>
        <w:t xml:space="preserve">Investment is defined as the sum of change in working capital, capital expenditures net of depreciation, and acquisitions net of divestitures. </w:t>
      </w:r>
    </w:p>
    <w:p>
      <w:pPr>
        <w:pStyle w:val="Normal"/>
        <w:rPr>
          <w:lang w:eastAsia="en-US"/>
        </w:rPr>
      </w:pPr>
      <w:r>
        <w:rPr>
          <w:lang w:eastAsia="en-US"/>
        </w:rPr>
      </w:r>
    </w:p>
    <w:p>
      <w:pPr>
        <w:pStyle w:val="Normal"/>
        <w:jc w:val="center"/>
        <w:rPr>
          <w:u w:val="single"/>
          <w:lang w:eastAsia="en-US"/>
        </w:rPr>
      </w:pPr>
      <w:bookmarkStart w:id="6" w:name="_1008507562"/>
      <w:bookmarkStart w:id="7" w:name="_1008494625"/>
      <w:bookmarkStart w:id="8" w:name="_1008494600"/>
      <w:bookmarkStart w:id="9" w:name="_1008494567"/>
      <w:bookmarkStart w:id="10" w:name="_1008494502"/>
      <w:bookmarkStart w:id="11" w:name="_1008494413"/>
      <w:bookmarkStart w:id="12" w:name="_1008494158"/>
      <w:bookmarkStart w:id="13" w:name="_1008494106"/>
      <w:bookmarkStart w:id="14" w:name="_1008494083"/>
      <w:bookmarkStart w:id="15" w:name="_1008494034"/>
      <w:bookmarkEnd w:id="6"/>
      <w:bookmarkEnd w:id="7"/>
      <w:bookmarkEnd w:id="8"/>
      <w:bookmarkEnd w:id="9"/>
      <w:bookmarkEnd w:id="10"/>
      <w:bookmarkEnd w:id="11"/>
      <w:bookmarkEnd w:id="12"/>
      <w:bookmarkEnd w:id="13"/>
      <w:bookmarkEnd w:id="14"/>
      <w:bookmarkEnd w:id="15"/>
      <w:r>
        <w:rPr>
          <w:lang w:eastAsia="en-US"/>
        </w:rPr>
        <w:object w:dxaOrig="6289" w:dyaOrig="370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14.45pt;height:185.45pt" filled="f" o:ole="">
            <v:imagedata r:id="rId37" o:title=""/>
          </v:shape>
          <o:OLEObject Type="Embed" ProgID="" ShapeID="ole_rId36" DrawAspect="Content" ObjectID="_1977310846" r:id="rId36"/>
        </w:object>
      </w:r>
    </w:p>
    <w:p>
      <w:pPr>
        <w:pStyle w:val="Head3"/>
        <w:rPr>
          <w:lang w:eastAsia="en-US"/>
        </w:rPr>
      </w:pPr>
      <w:r>
        <w:rPr>
          <w:lang w:eastAsia="en-US"/>
        </w:rPr>
        <w:t xml:space="preserve">Free Cash Flow </w:t>
      </w:r>
    </w:p>
    <w:p>
      <w:pPr>
        <w:pStyle w:val="Normal"/>
        <w:rPr>
          <w:lang w:eastAsia="en-US"/>
        </w:rPr>
      </w:pPr>
      <w:r>
        <w:rPr>
          <w:lang w:eastAsia="en-US"/>
        </w:rPr>
        <w:t>Free cash flow ("FCF"), the difference between NOPAT and incremental Investment, is the pool of cash that can be distributed to all the claim holders (debt &amp; equity) of the company. FCF, as defined here, excludes financing costs (like interest expense). Free cash flow is projected and discounted to a present value in order to value a business.</w:t>
      </w:r>
    </w:p>
    <w:p>
      <w:pPr>
        <w:pStyle w:val="Heading3"/>
        <w:spacing w:before="0" w:after="0"/>
        <w:ind w:hanging="0" w:start="0"/>
        <w:rPr>
          <w:lang w:eastAsia="en-US"/>
        </w:rPr>
      </w:pPr>
      <w:r>
        <w:rPr>
          <w:lang w:eastAsia="en-US"/>
        </w:rPr>
        <w:t>Risk</w:t>
      </w:r>
    </w:p>
    <w:p>
      <w:pPr>
        <w:pStyle w:val="Normal"/>
        <w:rPr>
          <w:lang w:eastAsia="en-US"/>
        </w:rPr>
      </w:pPr>
      <w:r>
        <w:rPr>
          <w:lang w:eastAsia="en-US"/>
        </w:rPr>
        <w:t>This is quantified through the weighted average cost of capital.  It measures the cost of capital employed, including the cost of debt, preferred equity, and the "opportunity cost" or "economic rent" of equity.</w:t>
      </w:r>
    </w:p>
    <w:p>
      <w:pPr>
        <w:pStyle w:val="Normal"/>
        <w:tabs>
          <w:tab w:val="clear" w:pos="720"/>
          <w:tab w:val="right" w:pos="1080" w:leader="none"/>
          <w:tab w:val="center" w:pos="1260" w:leader="none"/>
          <w:tab w:val="left" w:pos="1440" w:leader="none"/>
        </w:tabs>
        <w:rPr>
          <w:lang w:eastAsia="en-US"/>
        </w:rPr>
      </w:pPr>
      <w:r>
        <w:rPr>
          <w:lang w:eastAsia="en-US"/>
        </w:rPr>
        <w:tab/>
        <w:t>WACC</w:t>
        <w:tab/>
        <w:t>=</w:t>
        <w:tab/>
        <w:t>(Ke) * (1-D/TC) + [Kd * (1-T)] * (D/TC)</w:t>
      </w:r>
    </w:p>
    <w:p>
      <w:pPr>
        <w:pStyle w:val="Normal"/>
        <w:tabs>
          <w:tab w:val="clear" w:pos="720"/>
          <w:tab w:val="right" w:pos="1080" w:leader="none"/>
          <w:tab w:val="center" w:pos="1260" w:leader="none"/>
          <w:tab w:val="left" w:pos="1440" w:leader="none"/>
        </w:tabs>
        <w:rPr>
          <w:lang w:eastAsia="en-US"/>
        </w:rPr>
      </w:pPr>
      <w:r>
        <w:rPr>
          <w:lang w:eastAsia="en-US"/>
        </w:rPr>
        <w:tab/>
        <w:t>Ke</w:t>
        <w:tab/>
        <w:t xml:space="preserve"> =</w:t>
        <w:tab/>
        <w:t>Cost of Equity</w:t>
      </w:r>
    </w:p>
    <w:p>
      <w:pPr>
        <w:pStyle w:val="Normal"/>
        <w:tabs>
          <w:tab w:val="clear" w:pos="720"/>
          <w:tab w:val="right" w:pos="1080" w:leader="none"/>
          <w:tab w:val="center" w:pos="1260" w:leader="none"/>
          <w:tab w:val="left" w:pos="1440" w:leader="none"/>
        </w:tabs>
        <w:rPr>
          <w:lang w:eastAsia="en-US"/>
        </w:rPr>
      </w:pPr>
      <w:r>
        <w:rPr>
          <w:lang w:eastAsia="en-US"/>
        </w:rPr>
        <w:tab/>
        <w:t>Kd</w:t>
        <w:tab/>
        <w:t>=</w:t>
        <w:tab/>
        <w:t>Cost of Debt</w:t>
      </w:r>
    </w:p>
    <w:p>
      <w:pPr>
        <w:pStyle w:val="Normal"/>
        <w:tabs>
          <w:tab w:val="clear" w:pos="720"/>
          <w:tab w:val="right" w:pos="1080" w:leader="none"/>
          <w:tab w:val="center" w:pos="1260" w:leader="none"/>
          <w:tab w:val="left" w:pos="1440" w:leader="none"/>
        </w:tabs>
        <w:rPr>
          <w:lang w:eastAsia="en-US"/>
        </w:rPr>
      </w:pPr>
      <w:r>
        <w:rPr>
          <w:lang w:eastAsia="en-US"/>
        </w:rPr>
        <w:tab/>
        <w:t>D/TC</w:t>
        <w:tab/>
        <w:t>=</w:t>
        <w:tab/>
        <w:t>Debt to Total Capital Ratio</w:t>
      </w:r>
    </w:p>
    <w:p>
      <w:pPr>
        <w:pStyle w:val="Normal"/>
        <w:rPr>
          <w:lang w:eastAsia="en-US"/>
        </w:rPr>
      </w:pPr>
      <w:r>
        <w:rPr>
          <w:lang w:eastAsia="en-US"/>
        </w:rPr>
        <w:tab/>
        <w:t>T</w:t>
        <w:tab/>
        <w:t>=</w:t>
        <w:tab/>
        <w:t>Tax Rate</w:t>
      </w:r>
    </w:p>
    <w:p>
      <w:pPr>
        <w:pStyle w:val="Text"/>
        <w:rPr>
          <w:lang w:eastAsia="en-US"/>
        </w:rPr>
      </w:pPr>
      <w:r>
        <w:rPr>
          <w:lang w:eastAsia="en-US"/>
        </w:rPr>
        <w:t>The CSFB value based approach to investing helps investors and analysts gain insight into the economics of a company by taking a bottom-up approach to analyzing shareholder value metrics. This framework augments traditional performance measures and helps investors isolate important drivers of value creation. We believe that a complete picture of a company's includes some measure of cash flow, some measure of risk, and some measure of forecast horizon.</w:t>
      </w:r>
    </w:p>
    <w:p>
      <w:pPr>
        <w:pStyle w:val="Text"/>
        <w:rPr>
          <w:lang w:eastAsia="en-US"/>
        </w:rPr>
      </w:pPr>
      <w:r>
        <w:rPr>
          <w:lang w:eastAsia="en-US"/>
        </w:rPr>
      </w:r>
    </w:p>
    <w:p>
      <w:pPr>
        <w:pStyle w:val="Head1"/>
        <w:rPr>
          <w:lang w:eastAsia="en-US"/>
        </w:rPr>
      </w:pPr>
      <w:bookmarkStart w:id="16" w:name="__RefHeading___Toc471702822"/>
      <w:bookmarkEnd w:id="16"/>
      <w:r>
        <w:rPr>
          <w:lang w:eastAsia="en-US"/>
        </w:rPr>
        <w:t xml:space="preserve">Valuation of the New Economy Electric Universe – Combining New with Old </w:t>
      </w:r>
      <w:r>
        <w:rPr>
          <w:rStyle w:val="FootnoteCharacters"/>
          <w:rStyle w:val="FootnoteReference"/>
          <w:lang w:eastAsia="en-US"/>
        </w:rPr>
        <w:footnoteReference w:customMarkFollows="1" w:id="2"/>
        <w:t>*</w:t>
      </w:r>
      <w:r>
        <w:rPr>
          <w:rStyle w:val="FootnoteCharacters"/>
          <w:lang w:eastAsia="en-US"/>
        </w:rPr>
        <w:t>*</w:t>
      </w:r>
    </w:p>
    <w:p>
      <w:pPr>
        <w:pStyle w:val="Text"/>
        <w:rPr/>
      </w:pPr>
      <w:r>
        <w:rPr/>
        <w:t>Using both traditional and value based metrics, we believe that the New Economy Electric universe looks undervalued relative to the larger utility group.  Currently, the companies highlighted in this report are in the process of building out their new economy strategies.  As a result, while in 1998 there is little difference between the average ROIC for the new economy universe versus the larger utility group, by 2002, when these strategies have matured, we forecast an average ROIC-WACC spread of 2% for the new economy electrics, versus 0.09% for the utility average.  In addition, we forecast that average invested capital turns will increase 44% over the next few years, from 0.52 times in 1999 to 0.74 times in 2002 for the new economy electrics, while the same measure for the larger utility index will remain comparatively constant, at 0.46 times in 1999 and 0.50 times by 2002.</w:t>
      </w:r>
    </w:p>
    <w:p>
      <w:pPr>
        <w:pStyle w:val="Text"/>
        <w:rPr/>
      </w:pPr>
      <w:r>
        <w:rPr/>
        <w:t>From a traditional valuation perspective, the new economy electric universe is currently trading at an average of 11.6x and 10.6x times 2000 and 2001 earnings, compared with 10.4x and 9.8x times for our utility index.  While the new economy universe is trading at a slight premium already, we believe that the group’s return profiles warrant a multiple expansion, to bring earnings multiples in line with true economic profit.  These companies have an average earnings growth rate of 9.4% compared with 6.9%.  Importantly, in conjunction with the ROIC profiles that correspond to these growth rates, we believe that the earning growth being generated by the new economy companies is comparatively organic and sustainable, as opposed to being driven primarily by share repurchases and debt retirements.</w:t>
      </w:r>
    </w:p>
    <w:p>
      <w:pPr>
        <w:pStyle w:val="Text"/>
        <w:rPr/>
      </w:pPr>
      <w:r>
        <w:rPr/>
        <w:t xml:space="preserve">In addition, overall, it is the larger market capitalization companies that we see taking on new economy characteristics.  The average market cap for the new economy universe is $9.6 billion versus $3.2 billion for the larger utility group.  </w:t>
      </w:r>
    </w:p>
    <w:p>
      <w:pPr>
        <w:pStyle w:val="Text"/>
        <w:rPr/>
      </w:pPr>
      <w:r>
        <w:rPr/>
      </w:r>
    </w:p>
    <w:p>
      <w:pPr>
        <w:pStyle w:val="Text"/>
        <w:rPr>
          <w:lang w:eastAsia="en-US"/>
        </w:rPr>
      </w:pPr>
      <w:r>
        <w:rPr>
          <w:lang w:eastAsia="en-US"/>
        </w:rPr>
      </w:r>
    </w:p>
    <w:p>
      <w:pPr>
        <w:pStyle w:val="Head1"/>
        <w:rPr/>
      </w:pPr>
      <w:bookmarkStart w:id="17" w:name="__RefHeading___Toc471702823"/>
      <w:bookmarkEnd w:id="17"/>
      <w:r>
        <w:rPr/>
        <w:t>Value Creation – A Relative Race</w:t>
      </w:r>
    </w:p>
    <w:p>
      <w:pPr>
        <w:pStyle w:val="Text"/>
        <w:rPr/>
      </w:pPr>
      <w:r>
        <w:rPr/>
        <w:t xml:space="preserve">Prior to introducing our individual company analysis, and across each of the four value models discussed previously, there is one underlying issue that needs to be addressed. The electric industry, even for those companies that embrace this new economy theme, will always be comparatively capital intensive.  The average invested capital base of the nine companies that we highlight in this report is a staggering $15.6 billion.  </w:t>
      </w:r>
    </w:p>
    <w:p>
      <w:pPr>
        <w:pStyle w:val="Text"/>
        <w:rPr/>
      </w:pPr>
      <w:r>
        <w:rPr/>
        <w:t xml:space="preserve">Rather, the two elements that beg discussion are </w:t>
      </w:r>
      <w:r>
        <w:rPr>
          <w:i/>
        </w:rPr>
        <w:t>intra-sector comparison</w:t>
      </w:r>
      <w:r>
        <w:rPr/>
        <w:t xml:space="preserve"> and </w:t>
      </w:r>
      <w:r>
        <w:rPr>
          <w:i/>
        </w:rPr>
        <w:t>trend</w:t>
      </w:r>
      <w:r>
        <w:rPr/>
        <w:t xml:space="preserve">.  In other words, this is a relative race – the industry leaders will be the companies that find innovative approaches to extract superior value from their existing and future asset base.  For example Duke, one of the companies that we expect will be a predominant player among the new economy electrics, has an average forecasted invested capital base of $28.3 billion in years 2000-2002.  We project that this base as a percentage of sales should decline substantially over the same period, from 109%, 87%, and 55% in 2000-2002, respectively (we discuss the specific new economy strategies that Duke is employing to achieve these results later in this report). We do not expect to see such a dramatic decline for the majority of the industry.  </w:t>
      </w:r>
    </w:p>
    <w:p>
      <w:pPr>
        <w:pStyle w:val="Text"/>
        <w:rPr/>
      </w:pPr>
      <w:r>
        <w:rPr/>
        <w:t>Similarly, while many of the companies that we are highlighting are currently in the build-out phase of their respective strategies, we believe that they have already done much to change their cultures and return expectations.  Thus, while many of these companies are not yet producing substantial excess returns, we already see a positive trend in their return profiles.  We expect that the pace with which the new economy electric companies should be able to ramp up their ROIC is accelerating, and accelerating quickly.</w:t>
      </w:r>
    </w:p>
    <w:p>
      <w:pPr>
        <w:pStyle w:val="Text"/>
        <w:rPr/>
      </w:pPr>
      <w:r>
        <w:rPr/>
        <w:t xml:space="preserve">Thus, even though the electric sector is likely to remain a </w:t>
      </w:r>
      <w:r>
        <w:rPr>
          <w:i/>
        </w:rPr>
        <w:t>more</w:t>
      </w:r>
      <w:r>
        <w:rPr/>
        <w:t xml:space="preserve"> capitally intensive industry than many, we see opportunities for those companies with a knowledge-based strategy that drives incremental revenue growth from their physical assets to earn superior returns relative to the rest of the industry.</w:t>
      </w:r>
    </w:p>
    <w:p>
      <w:pPr>
        <w:pStyle w:val="Text"/>
        <w:rPr>
          <w:i/>
          <w:i/>
        </w:rPr>
      </w:pPr>
      <w:r>
        <w:rPr>
          <w:i/>
        </w:rPr>
        <w:t>Old economy firms need higher margins to support a larger capital base.  New economy electrics can withstand lower margins, because the value of information, combined with the size and scale of their operations, will drive incremental revenue opportunities from existing assets.</w:t>
      </w:r>
    </w:p>
    <w:p>
      <w:pPr>
        <w:pStyle w:val="Normal"/>
        <w:spacing w:before="0" w:after="60"/>
        <w:rPr>
          <w:i/>
          <w:i/>
          <w:lang w:eastAsia="en-US"/>
        </w:rPr>
      </w:pPr>
      <w:r>
        <w:rPr>
          <w:i/>
          <w:lang w:eastAsia="en-US"/>
        </w:rPr>
      </w:r>
    </w:p>
    <w:p>
      <w:pPr>
        <w:pStyle w:val="Text"/>
        <w:rPr>
          <w:lang w:eastAsia="en-US"/>
        </w:rPr>
      </w:pPr>
      <w:r>
        <w:rPr>
          <w:lang w:eastAsia="en-US"/>
        </w:rPr>
      </w:r>
    </w:p>
    <w:p>
      <w:pPr>
        <w:pStyle w:val="Head1"/>
        <w:rPr/>
      </w:pPr>
      <w:bookmarkStart w:id="18" w:name="__RefHeading___Toc471702824"/>
      <w:bookmarkEnd w:id="18"/>
      <w:r>
        <w:rPr/>
        <w:t>PECO Energy</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Strong 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$49-$50</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t>$3.00</w:t>
            </w:r>
          </w:p>
        </w:tc>
        <w:tc>
          <w:tcPr>
            <w:tcW w:w="1530" w:type="dxa"/>
            <w:tcBorders/>
            <w:shd w:fill="DFDFDF" w:val="clear"/>
          </w:tcPr>
          <w:p>
            <w:pPr>
              <w:pStyle w:val="Text"/>
              <w:spacing w:before="0" w:after="120"/>
              <w:jc w:val="center"/>
              <w:rPr/>
            </w:pPr>
            <w:r>
              <w:rPr/>
              <w:t>$3.57</w:t>
            </w:r>
          </w:p>
        </w:tc>
        <w:tc>
          <w:tcPr>
            <w:tcW w:w="1350" w:type="dxa"/>
            <w:tcBorders>
              <w:end w:val="single" w:sz="4" w:space="0" w:color="000000"/>
            </w:tcBorders>
            <w:shd w:fill="DFDFDF" w:val="clear"/>
          </w:tcPr>
          <w:p>
            <w:pPr>
              <w:pStyle w:val="Text"/>
              <w:spacing w:before="0" w:after="120"/>
              <w:jc w:val="center"/>
              <w:rPr/>
            </w:pPr>
            <w:r>
              <w:rPr/>
              <w:t>$3.90</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t>6.2%</w:t>
            </w:r>
          </w:p>
        </w:tc>
        <w:tc>
          <w:tcPr>
            <w:tcW w:w="1530" w:type="dxa"/>
            <w:tcBorders>
              <w:bottom w:val="single" w:sz="4" w:space="0" w:color="000000"/>
            </w:tcBorders>
            <w:shd w:fill="DFDFDF" w:val="clear"/>
          </w:tcPr>
          <w:p>
            <w:pPr>
              <w:pStyle w:val="Text"/>
              <w:spacing w:before="0" w:after="120"/>
              <w:jc w:val="center"/>
              <w:rPr/>
            </w:pPr>
            <w:r>
              <w:rPr/>
              <w:t>7.6%</w:t>
            </w:r>
          </w:p>
        </w:tc>
        <w:tc>
          <w:tcPr>
            <w:tcW w:w="1350" w:type="dxa"/>
            <w:tcBorders>
              <w:bottom w:val="single" w:sz="4" w:space="0" w:color="000000"/>
              <w:end w:val="single" w:sz="4" w:space="0" w:color="000000"/>
            </w:tcBorders>
            <w:shd w:fill="DFDFDF" w:val="clear"/>
          </w:tcPr>
          <w:p>
            <w:pPr>
              <w:pStyle w:val="Text"/>
              <w:spacing w:before="0" w:after="120"/>
              <w:jc w:val="center"/>
              <w:rPr/>
            </w:pPr>
            <w:r>
              <w:rPr/>
              <w:t>8.7%</w:t>
            </w:r>
          </w:p>
        </w:tc>
      </w:tr>
    </w:tbl>
    <w:p>
      <w:pPr>
        <w:pStyle w:val="Text"/>
        <w:rPr/>
      </w:pPr>
      <w:r>
        <w:rPr/>
      </w:r>
    </w:p>
    <w:p>
      <w:pPr>
        <w:pStyle w:val="Text"/>
        <w:rPr/>
      </w:pPr>
      <w:r>
        <w:rPr/>
        <w:t xml:space="preserve">We are raising our recommendation on PECO Energy to a Strong Buy from a Buy.  We believe that the PECO story continues to be extremely impressive; the company remains one of the stronger power companies in North America with one of the best managements in the business and strong fundamental utility operations as well as an aggressive and successful power marketing business. </w:t>
      </w:r>
    </w:p>
    <w:p>
      <w:pPr>
        <w:pStyle w:val="Text"/>
        <w:rPr/>
      </w:pPr>
      <w:r>
        <w:rPr/>
        <w:t>Importantly PECO’s utility business has no ROE restrictions through 2005 and has an intelligent low risk/high return investment policy regarding its acquisitions of nuclear power plants.</w:t>
      </w:r>
    </w:p>
    <w:p>
      <w:pPr>
        <w:pStyle w:val="Text"/>
        <w:rPr/>
      </w:pPr>
      <w:r>
        <w:rPr>
          <w:lang w:eastAsia="en-US"/>
        </w:rPr>
        <w:t xml:space="preserve">We continue to see a very positive environment for PE, including strong forward wholesale electric prices as well impressive customer retention levels. </w:t>
      </w:r>
      <w:r>
        <w:rPr/>
        <w:t>For those investors who want the stability of a well run utility, while capitalizing on the growth of one of the leading power marketers and generators, PECO should be an excellent investment.</w:t>
      </w:r>
    </w:p>
    <w:p>
      <w:pPr>
        <w:pStyle w:val="Text"/>
        <w:rPr/>
      </w:pPr>
      <w:r>
        <w:rPr/>
        <w:t xml:space="preserve">In addition, we believe that the market has overemphasized the risk profile associated with PECO’s pending merger with Unicom.  The stock is currently trading 7% below our universe averages, despite what we believe to be a superior strategy, competitive position, and management culture.  </w:t>
      </w:r>
    </w:p>
    <w:p>
      <w:pPr>
        <w:pStyle w:val="Head2"/>
        <w:rPr/>
      </w:pPr>
      <w:r>
        <w:rPr/>
        <w:t>New Economy Themes</w:t>
      </w:r>
    </w:p>
    <w:p>
      <w:pPr>
        <w:pStyle w:val="Text"/>
        <w:rPr/>
      </w:pPr>
      <w:r>
        <w:rPr/>
        <w:t>PECO is probably one of the more aggressive companies in using its knowledge base (and those of joint venture partners) to derive value from its existing and newly acquired asset base.  Through its acquisition of nuclear power plants, as well as its power marketing, and telecommunications activities, PECO has developed proficiencies in all three of the knowledge-based value models that we see driving the sector.</w:t>
      </w:r>
    </w:p>
    <w:p>
      <w:pPr>
        <w:pStyle w:val="Text"/>
        <w:rPr/>
      </w:pPr>
      <w:r>
        <w:rPr>
          <w:rStyle w:val="Head4"/>
        </w:rPr>
        <w:t>Nuclear Strategy</w:t>
      </w:r>
      <w:r>
        <w:rPr>
          <w:color w:val="FFFFFF"/>
        </w:rPr>
        <w:t>—</w:t>
      </w:r>
      <w:r>
        <w:rPr/>
        <w:t xml:space="preserve">PECO has used its knowledge and skill base to acquire and operate other utilities’ nuclear plants. </w:t>
      </w:r>
      <w:r>
        <w:rPr>
          <w:color w:val="000000"/>
        </w:rPr>
        <w:t>While PECO’s generation strategy is not focused solely on nuclear assets, its most recent acquisitions have almost all been nuclear plants.  Management’s rational?  Running nuclear plants is one of its core competencies, and the assets have been selling for extremely attractive valuations.</w:t>
      </w:r>
    </w:p>
    <w:p>
      <w:pPr>
        <w:pStyle w:val="Text"/>
        <w:rPr/>
      </w:pPr>
      <w:r>
        <w:rPr/>
        <w:t>By exploiting its superior nuclear knowledge base, PECO has been able to buy nuclear plants for fractions of their original cost.   In addition, by collectively operating and marketing the output of these plants on a system wide basis, PECO has been able to extract additional economies of scale.  Consequently, the value that PECO has been able to generate from these plants has substantially exceeded that realized by the plants’ previous owners.</w:t>
      </w:r>
    </w:p>
    <w:p>
      <w:pPr>
        <w:pStyle w:val="Text"/>
        <w:rPr/>
      </w:pPr>
      <w:r>
        <w:rPr/>
        <w:t xml:space="preserve">While we have discussed the qualitative benefits of these projects in earlier reports, we believe that the most convincing evidence of the company’s ability to drive more value out of these assets than their predecessors are the numbers.  We conservatively estimate that the project-level ROIC for the nuclear portfolio that PECO has acquired over the last year is approximately 56% by 2001.  While this seems a staggering return within the generation industry, we note that our assumptions in arriving at this metric were extremely conservative.  Our return calculation does not capture the wholesale marketing revenue for the capacity not covered under purchased power agreements (PPA)—approximately 494 mw.  Importantly, while PECO only owns 50% of Amergen (and thus 50% of most of these plants), 100% of the non-contracted capacity is sold by the Amergen partnership to PECO’s Power Team, which will retain all of the associated incremental margin.  </w:t>
      </w:r>
    </w:p>
    <w:p>
      <w:pPr>
        <w:pStyle w:val="CameraReadyTableTitle"/>
        <w:rPr/>
      </w:pPr>
      <w:r>
        <w:rPr/>
        <w:t>Exhibit 6</w:t>
        <w:br/>
        <w:t>PECO Energy – Value Based Analysis of Nuclear Acquisitions</w:t>
      </w:r>
    </w:p>
    <w:p>
      <w:pPr>
        <w:pStyle w:val="CameraReadyTableSubtitle"/>
        <w:rPr/>
      </w:pPr>
      <w:r>
        <w:rPr/>
        <w:t>In millions</w:t>
      </w:r>
    </w:p>
    <w:p>
      <w:pPr>
        <w:pStyle w:val="Picture"/>
        <w:rPr/>
      </w:pPr>
      <w:r>
        <w:rPr/>
        <w:drawing>
          <wp:inline distT="0" distB="0" distL="0" distR="0">
            <wp:extent cx="4587240" cy="1804035"/>
            <wp:effectExtent l="0" t="0" r="0" b="0"/>
            <wp:docPr id="21"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 descr="" title=""/>
                    <pic:cNvPicPr>
                      <a:picLocks noChangeAspect="1" noChangeArrowheads="1"/>
                    </pic:cNvPicPr>
                  </pic:nvPicPr>
                  <pic:blipFill>
                    <a:blip r:embed="rId38"/>
                    <a:srcRect l="-7" t="-19" r="-7" b="-19"/>
                    <a:stretch>
                      <a:fillRect/>
                    </a:stretch>
                  </pic:blipFill>
                  <pic:spPr bwMode="auto">
                    <a:xfrm>
                      <a:off x="0" y="0"/>
                      <a:ext cx="4587240" cy="1804035"/>
                    </a:xfrm>
                    <a:prstGeom prst="rect">
                      <a:avLst/>
                    </a:prstGeom>
                    <a:noFill/>
                  </pic:spPr>
                </pic:pic>
              </a:graphicData>
            </a:graphic>
          </wp:inline>
        </w:drawing>
      </w:r>
    </w:p>
    <w:p>
      <w:pPr>
        <w:pStyle w:val="Text"/>
        <w:rPr>
          <w:sz w:val="16"/>
        </w:rPr>
      </w:pPr>
      <w:r>
        <w:rPr>
          <w:sz w:val="16"/>
        </w:rPr>
        <w:t>Source: Company Reports and CSFB estimates</w:t>
      </w:r>
    </w:p>
    <w:p>
      <w:pPr>
        <w:pStyle w:val="Text"/>
        <w:rPr>
          <w:rStyle w:val="Head4"/>
        </w:rPr>
      </w:pPr>
      <w:r>
        <w:rPr>
          <w:rStyle w:val="Head4"/>
        </w:rPr>
        <w:t>Power Trading and Marketing</w:t>
      </w:r>
      <w:r>
        <w:rPr/>
        <w:t xml:space="preserve"> In 1994 PECO began its wholesale power marketing efforts in earnest with the development of the company’s Power Team.  The Power Team is a substantial power marketer in the United States.  By capitalizing on PECO’s 9297 MW the Power Team has been able to successfully become a leading supplier of wholesale power.  In the first three quarters of 1999 the Power Team sold over 50.7 million MWH, which were virtually all physical deliveries rather than financial paper trades.  Power Team has developed its own proprietary information technology, which it has employed to facilitate faster responses in one of the most volatile of commodities markets. In addition, by utilizing not only its own power plants but also by marketing the output of facilities owned by others, PECO has been able to extract additional value from its existing assets than might otherwise be available by selling power into the open market.</w:t>
      </w:r>
    </w:p>
    <w:p>
      <w:pPr>
        <w:pStyle w:val="Text"/>
        <w:rPr/>
      </w:pPr>
      <w:r>
        <w:rPr>
          <w:rStyle w:val="Head4"/>
        </w:rPr>
        <w:t>Telecommunications Strategy</w:t>
      </w:r>
      <w:r>
        <w:rPr>
          <w:color w:val="FFFFFF"/>
        </w:rPr>
        <w:t>—</w:t>
      </w:r>
      <w:r>
        <w:rPr/>
        <w:t>PECO has also been effectively exploiting its transmission and distribution (wires) assets as well as its utility infrastructure skills.  The company has leveraged its existing rights of way, utility workforce and existing customer base to sell telecommunication services within its traditional service territory.  Because its knowledge of the telecommunications business is limited, it has entered into joint ventures with more knowledgeable partners (AT&amp;T, Hyperion).</w:t>
      </w:r>
    </w:p>
    <w:p>
      <w:pPr>
        <w:pStyle w:val="Text"/>
        <w:rPr/>
      </w:pPr>
      <w:r>
        <w:rPr/>
        <w:t xml:space="preserve">The result is a telecommunications business with a lower cost structure than its competitors.  For example, PECO’s AT&amp;T PCS wireless joint venture is able to site transponders for a substantial 20% discount versus most of its rivals.  Likewise the Hyperion joint venture is able to capitalize on PECO’s rights of ways and work force to lower its cost to providing CLEC service to commercial customers in the greater Philadelphia region.  </w:t>
      </w:r>
    </w:p>
    <w:p>
      <w:pPr>
        <w:pStyle w:val="Text"/>
        <w:rPr/>
      </w:pPr>
      <w:r>
        <w:rPr>
          <w:rStyle w:val="Head4"/>
        </w:rPr>
        <w:t>Infrastructure Services</w:t>
      </w:r>
      <w:r>
        <w:rPr>
          <w:color w:val="FFFFFF"/>
        </w:rPr>
        <w:t>—</w:t>
      </w:r>
      <w:r>
        <w:rPr/>
        <w:t>In addition, through Exelon Infrastructure services, PECO has been able to extract additional value by providing utility infrastructure outservicing products to other utilities on a nationwide basis.  In October, PECO substantially increased its presence in this market by purchasing 6 utility services companies from approximately $220 million.  We estimate that in the first year, we will see a ROIC of 10% from these acquisitions, ramping up in subsequent years.</w:t>
      </w:r>
    </w:p>
    <w:p>
      <w:pPr>
        <w:pStyle w:val="Head2"/>
        <w:rPr/>
      </w:pPr>
      <w:r>
        <w:rPr/>
        <w:t>Valuation Metrics</w:t>
      </w:r>
    </w:p>
    <w:p>
      <w:pPr>
        <w:pStyle w:val="Head3"/>
        <w:rPr/>
      </w:pPr>
      <w:r>
        <w:rPr/>
        <w:t>Value Based Analysis</w:t>
      </w:r>
    </w:p>
    <w:p>
      <w:pPr>
        <w:pStyle w:val="Text"/>
        <w:rPr/>
      </w:pPr>
      <w:r>
        <w:rPr>
          <w:color w:val="000000"/>
        </w:rPr>
        <w:t xml:space="preserve">Over the next 2-5 years, we expect that the impact of these strategies will be a substantial increase in PECO’s overall invested capital turnover.  The incremental revenue growth driven by both its trading and marketing, nuclear acquisitions, and telecommunications ventures is supported by comparatively modest capital investment requirements. </w:t>
      </w:r>
      <w:r>
        <w:rPr/>
        <w:t>In addition, we believe that PECO has the size and scale in combination with the extensive power marketing experience to remain one of the best positioned companies in the deregulating power generation market.</w:t>
      </w:r>
    </w:p>
    <w:p>
      <w:pPr>
        <w:pStyle w:val="Text"/>
        <w:rPr/>
      </w:pPr>
      <w:r>
        <w:rPr>
          <w:rStyle w:val="Head4"/>
        </w:rPr>
        <w:t>ROIC</w:t>
      </w:r>
      <w:r>
        <w:rPr>
          <w:color w:val="FFFFFF"/>
        </w:rPr>
        <w:t>—</w:t>
      </w:r>
      <w:r>
        <w:rPr>
          <w:color w:val="000000"/>
        </w:rPr>
        <w:t xml:space="preserve">We forecast that the company’s ROIC should grow from 6.2% in 1999 to 8.7% in 2002.  </w:t>
      </w:r>
    </w:p>
    <w:p>
      <w:pPr>
        <w:pStyle w:val="Text"/>
        <w:rPr/>
      </w:pPr>
      <w:r>
        <w:rPr>
          <w:rStyle w:val="Head4"/>
        </w:rPr>
        <w:t>NOPAT Margins</w:t>
      </w:r>
      <w:r>
        <w:rPr>
          <w:color w:val="FFFFFF"/>
        </w:rPr>
        <w:t>—</w:t>
      </w:r>
      <w:r>
        <w:rPr>
          <w:color w:val="000000"/>
        </w:rPr>
        <w:t>In 1998, PECO’s NOPAT margins were 14.8%, an increase of almost 3% over the prior year.  We forecast NOPAT margins stabilizing at approximately 17% over time.  This increase reflects the full return to operations of the Salem nuclear unit, which was offline through mid-1998 and the positive return profiles of the nuclear acquisitions, offset in part by decreasing power marketing margins.</w:t>
      </w:r>
    </w:p>
    <w:p>
      <w:pPr>
        <w:pStyle w:val="Text"/>
        <w:rPr/>
      </w:pPr>
      <w:r>
        <w:rPr>
          <w:rStyle w:val="Head4"/>
        </w:rPr>
        <w:t>Invested Capital Turnover</w:t>
      </w:r>
      <w:r>
        <w:rPr>
          <w:color w:val="FFFFFF"/>
        </w:rPr>
        <w:t>—</w:t>
      </w:r>
      <w:r>
        <w:rPr>
          <w:color w:val="000000"/>
        </w:rPr>
        <w:t>PECO’s invested capital turns have increased 50% over the last five years, from 0.28 in 1994 to 0.42 in 1998.  We believe demonstrates the company’s early focus on expanding its revenue streams from existing assets.  As the current knowledge-based strategies develop, we anticipate that by 2002, invested capital turns will increase to 0.51.</w:t>
      </w:r>
    </w:p>
    <w:p>
      <w:pPr>
        <w:pStyle w:val="Text"/>
        <w:rPr/>
      </w:pPr>
      <w:r>
        <w:rPr>
          <w:rStyle w:val="Head4"/>
        </w:rPr>
        <w:t>Sales</w:t>
      </w:r>
      <w:r>
        <w:rPr>
          <w:color w:val="FFFFFF"/>
        </w:rPr>
        <w:t>—</w:t>
      </w:r>
      <w:r>
        <w:rPr>
          <w:color w:val="000000"/>
        </w:rPr>
        <w:t xml:space="preserve">Sales have increased at a compound annual growth rate of 6.6% over the last five years.  Over the last three years, however, sales have grown at a CAGR of 10.6%.  We forecast an average sales growth rate of approximately 7% through 2002.  </w:t>
      </w:r>
    </w:p>
    <w:p>
      <w:pPr>
        <w:pStyle w:val="Head3"/>
        <w:rPr/>
      </w:pPr>
      <w:r>
        <w:rPr/>
        <w:t>Traditional Metrics</w:t>
      </w:r>
    </w:p>
    <w:p>
      <w:pPr>
        <w:pStyle w:val="Text"/>
        <w:rPr>
          <w:color w:val="000000"/>
        </w:rPr>
      </w:pPr>
      <w:r>
        <w:rPr/>
        <w:t>PECO’s stock is currently trading with a P/E ratio of 11.6x and 9.7x our 1999 and 2000 EPS estimates, respectively; compared to our new economy universe averages of 12.9x and 11.6x for the same earnings periods.  The company's dividend yield is 2.9% compared with our universe average of 4.9%.  We feel that the dividend is comparatively safe with the company having a payout ratio of around 43% in 1998.  Our interest rate sensitive 12-18 month price target is $49-$50.  At this price PECO would trade at 13.8x our 2000 estimate.  We believe this multiple is a reasonable one for a company of this quality, risk and earnings potential.  Considering the company's future growth prospects.</w:t>
      </w:r>
    </w:p>
    <w:p>
      <w:pPr>
        <w:pStyle w:val="CameraReadyTableTitle"/>
        <w:rPr/>
      </w:pPr>
      <w:r>
        <w:rPr/>
        <w:t>Exhibit 7</w:t>
        <w:br/>
        <w:t>PECO Energy ROIC vs WACC</w:t>
      </w:r>
    </w:p>
    <w:p>
      <w:pPr>
        <w:pStyle w:val="CameraReadyTableSubtitle"/>
        <w:rPr/>
      </w:pPr>
      <w:r>
        <w:rPr/>
        <w:t>1994-2005E</w:t>
      </w:r>
    </w:p>
    <w:p>
      <w:pPr>
        <w:pStyle w:val="Picture"/>
        <w:rPr/>
      </w:pPr>
      <w:r>
        <w:rPr/>
        <w:drawing>
          <wp:inline distT="0" distB="0" distL="0" distR="0">
            <wp:extent cx="4589145" cy="2334895"/>
            <wp:effectExtent l="0" t="0" r="0" b="0"/>
            <wp:docPr id="2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 descr="" title=""/>
                    <pic:cNvPicPr>
                      <a:picLocks noChangeAspect="1" noChangeArrowheads="1"/>
                    </pic:cNvPicPr>
                  </pic:nvPicPr>
                  <pic:blipFill>
                    <a:blip r:embed="rId39"/>
                    <a:srcRect l="-7" t="-17" r="-7" b="-17"/>
                    <a:stretch>
                      <a:fillRect/>
                    </a:stretch>
                  </pic:blipFill>
                  <pic:spPr bwMode="auto">
                    <a:xfrm>
                      <a:off x="0" y="0"/>
                      <a:ext cx="4589145" cy="2334895"/>
                    </a:xfrm>
                    <a:prstGeom prst="rect">
                      <a:avLst/>
                    </a:prstGeom>
                    <a:noFill/>
                  </pic:spPr>
                </pic:pic>
              </a:graphicData>
            </a:graphic>
          </wp:inline>
        </w:drawing>
      </w:r>
    </w:p>
    <w:p>
      <w:pPr>
        <w:pStyle w:val="Picture"/>
        <w:rPr/>
      </w:pPr>
      <w:r>
        <w:rPr/>
      </w:r>
    </w:p>
    <w:p>
      <w:pPr>
        <w:pStyle w:val="CameraReadyTableTitle"/>
        <w:rPr/>
      </w:pPr>
      <w:r>
        <w:rPr/>
        <w:t>Exhibit 8</w:t>
        <w:br/>
        <w:t>PECO Energy Economic Profit Trends</w:t>
      </w:r>
    </w:p>
    <w:p>
      <w:pPr>
        <w:pStyle w:val="CameraReadyTableSubtitle"/>
        <w:rPr/>
      </w:pPr>
      <w:r>
        <w:rPr/>
        <w:t>1994-2003E</w:t>
      </w:r>
    </w:p>
    <w:p>
      <w:pPr>
        <w:sectPr>
          <w:headerReference w:type="default" r:id="rId41"/>
          <w:headerReference w:type="first" r:id="rId42"/>
          <w:footerReference w:type="default" r:id="rId43"/>
          <w:footerReference w:type="first" r:id="rId44"/>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Picture"/>
        <w:rPr/>
      </w:pPr>
      <w:r>
        <w:rPr/>
        <w:drawing>
          <wp:inline distT="0" distB="0" distL="0" distR="0">
            <wp:extent cx="4587875" cy="2138680"/>
            <wp:effectExtent l="0" t="0" r="0" b="0"/>
            <wp:docPr id="23"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6" descr="" title=""/>
                    <pic:cNvPicPr>
                      <a:picLocks noChangeAspect="1" noChangeArrowheads="1"/>
                    </pic:cNvPicPr>
                  </pic:nvPicPr>
                  <pic:blipFill>
                    <a:blip r:embed="rId40"/>
                    <a:srcRect l="-7" t="-15" r="-7" b="-15"/>
                    <a:stretch>
                      <a:fillRect/>
                    </a:stretch>
                  </pic:blipFill>
                  <pic:spPr bwMode="auto">
                    <a:xfrm>
                      <a:off x="0" y="0"/>
                      <a:ext cx="4587875" cy="2138680"/>
                    </a:xfrm>
                    <a:prstGeom prst="rect">
                      <a:avLst/>
                    </a:prstGeom>
                    <a:noFill/>
                  </pic:spPr>
                </pic:pic>
              </a:graphicData>
            </a:graphic>
          </wp:inline>
        </w:drawing>
      </w:r>
    </w:p>
    <w:p>
      <w:pPr>
        <w:pStyle w:val="Head1"/>
        <w:rPr/>
      </w:pPr>
      <w:bookmarkStart w:id="19" w:name="__RefHeading___Toc471702825"/>
      <w:bookmarkEnd w:id="19"/>
      <w:r>
        <w:rPr/>
        <w:t>Duke Energy</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Strong 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$66</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rFonts w:eastAsia="Arial"/>
              </w:rPr>
              <w:t xml:space="preserve"> </w:t>
            </w:r>
            <w:r>
              <w:rPr/>
              <w:t>$3.55</w:t>
            </w:r>
          </w:p>
        </w:tc>
        <w:tc>
          <w:tcPr>
            <w:tcW w:w="1530" w:type="dxa"/>
            <w:tcBorders/>
            <w:shd w:fill="DFDFDF" w:val="clear"/>
          </w:tcPr>
          <w:p>
            <w:pPr>
              <w:pStyle w:val="Text"/>
              <w:spacing w:before="0" w:after="120"/>
              <w:jc w:val="center"/>
              <w:rPr/>
            </w:pPr>
            <w:r>
              <w:rPr/>
              <w:t xml:space="preserve">$4.00 </w:t>
            </w:r>
          </w:p>
        </w:tc>
        <w:tc>
          <w:tcPr>
            <w:tcW w:w="1350" w:type="dxa"/>
            <w:tcBorders>
              <w:end w:val="single" w:sz="4" w:space="0" w:color="000000"/>
            </w:tcBorders>
            <w:shd w:fill="DFDFDF" w:val="clear"/>
          </w:tcPr>
          <w:p>
            <w:pPr>
              <w:pStyle w:val="Text"/>
              <w:spacing w:before="0" w:after="120"/>
              <w:jc w:val="center"/>
              <w:rPr/>
            </w:pPr>
            <w:r>
              <w:rPr/>
              <w:t xml:space="preserve">$4.40 </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rFonts w:eastAsia="Arial"/>
              </w:rPr>
              <w:t xml:space="preserve"> </w:t>
            </w:r>
            <w:r>
              <w:rPr/>
              <w:t>6.0%</w:t>
            </w:r>
          </w:p>
        </w:tc>
        <w:tc>
          <w:tcPr>
            <w:tcW w:w="1530" w:type="dxa"/>
            <w:tcBorders>
              <w:bottom w:val="single" w:sz="4" w:space="0" w:color="000000"/>
            </w:tcBorders>
            <w:shd w:fill="DFDFDF" w:val="clear"/>
          </w:tcPr>
          <w:p>
            <w:pPr>
              <w:pStyle w:val="Text"/>
              <w:spacing w:before="0" w:after="120"/>
              <w:jc w:val="center"/>
              <w:rPr/>
            </w:pPr>
            <w:r>
              <w:rPr/>
              <w:t xml:space="preserve">7.0% </w:t>
            </w:r>
          </w:p>
        </w:tc>
        <w:tc>
          <w:tcPr>
            <w:tcW w:w="1350" w:type="dxa"/>
            <w:tcBorders>
              <w:bottom w:val="single" w:sz="4" w:space="0" w:color="000000"/>
              <w:end w:val="single" w:sz="4" w:space="0" w:color="000000"/>
            </w:tcBorders>
            <w:shd w:fill="DFDFDF" w:val="clear"/>
          </w:tcPr>
          <w:p>
            <w:pPr>
              <w:pStyle w:val="Text"/>
              <w:spacing w:before="0" w:after="120"/>
              <w:jc w:val="center"/>
              <w:rPr/>
            </w:pPr>
            <w:r>
              <w:rPr>
                <w:rFonts w:eastAsia="Arial"/>
              </w:rPr>
              <w:t xml:space="preserve"> </w:t>
            </w:r>
            <w:r>
              <w:rPr/>
              <w:t>9.8%</w:t>
            </w:r>
          </w:p>
        </w:tc>
      </w:tr>
    </w:tbl>
    <w:p>
      <w:pPr>
        <w:pStyle w:val="Text"/>
        <w:rPr/>
      </w:pPr>
      <w:r>
        <w:rPr/>
      </w:r>
    </w:p>
    <w:p>
      <w:pPr>
        <w:pStyle w:val="Text"/>
        <w:rPr/>
      </w:pPr>
      <w:r>
        <w:rPr/>
        <w:t>We are raising our recommendation on Duke Energy to a Strong Buy from a Buy.  We believe that Duke has already transformed itself from a traditional electric utility into a knowledge based energy services company.  One of the fundamental drivers of this transformation has been a significant (and comparatively early) shift in Duke’s corporate culture and management structure.  We believe that this has been a much overlooked factor which, combined with an aggressive strategy for redeploying regulated cash flow into higher growth, higher return businesses, sets Duke apart from the historical utility environment.</w:t>
      </w:r>
    </w:p>
    <w:p>
      <w:pPr>
        <w:pStyle w:val="Text"/>
        <w:rPr/>
      </w:pPr>
      <w:r>
        <w:rPr/>
        <w:t xml:space="preserve">For few companies is the effectiveness of this transition as transparent and measurable as it is for Duke.  As detailed in exhibit 9, for example, it becomes apparent that Duke’s focus on becoming one of the leading trading &amp; marketing operations in the electric and gas markets has a very strong return profile.  Importantly, while in 1998 trading and marketing only contributed 5% of Duke’s total EBIT, the income generated from this segment utilized only 1.2% of the companies total invested capital.  </w:t>
      </w:r>
    </w:p>
    <w:p>
      <w:pPr>
        <w:pStyle w:val="CameraReadyTableTitle"/>
        <w:rPr/>
      </w:pPr>
      <w:r>
        <w:rPr/>
        <w:t>Exhibit 9</w:t>
        <w:br/>
        <w:t>Estimated Value Based Metrics by Segment</w:t>
      </w:r>
    </w:p>
    <w:p>
      <w:pPr>
        <w:pStyle w:val="CameraReadyTableSubtitle"/>
        <w:rPr/>
      </w:pPr>
      <w:r>
        <w:rPr/>
        <w:t>December 31, 1998</w:t>
      </w:r>
    </w:p>
    <w:p>
      <w:pPr>
        <w:pStyle w:val="Text"/>
        <w:rPr/>
      </w:pPr>
      <w:r>
        <w:rPr/>
        <w:drawing>
          <wp:inline distT="0" distB="0" distL="0" distR="0">
            <wp:extent cx="4585970" cy="1687195"/>
            <wp:effectExtent l="0" t="0" r="0" b="0"/>
            <wp:docPr id="2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7" descr="" title=""/>
                    <pic:cNvPicPr>
                      <a:picLocks noChangeAspect="1" noChangeArrowheads="1"/>
                    </pic:cNvPicPr>
                  </pic:nvPicPr>
                  <pic:blipFill>
                    <a:blip r:embed="rId45"/>
                    <a:srcRect l="-6" t="-16" r="-6" b="-16"/>
                    <a:stretch>
                      <a:fillRect/>
                    </a:stretch>
                  </pic:blipFill>
                  <pic:spPr bwMode="auto">
                    <a:xfrm>
                      <a:off x="0" y="0"/>
                      <a:ext cx="4585970" cy="1687195"/>
                    </a:xfrm>
                    <a:prstGeom prst="rect">
                      <a:avLst/>
                    </a:prstGeom>
                    <a:noFill/>
                  </pic:spPr>
                </pic:pic>
              </a:graphicData>
            </a:graphic>
          </wp:inline>
        </w:drawing>
      </w:r>
      <w:r>
        <w:rPr/>
        <w:t>**</w:t>
      </w:r>
      <w:r>
        <w:rPr>
          <w:sz w:val="16"/>
        </w:rPr>
        <w:t>Note:  In 1998, Field Services earnings were significantly impacted by low oil prices, which have since rebounded.  Based on annualized 1999 data, ROIC would be approximately 6%.</w:t>
      </w:r>
    </w:p>
    <w:p>
      <w:pPr>
        <w:pStyle w:val="Text"/>
        <w:rPr>
          <w:sz w:val="16"/>
        </w:rPr>
      </w:pPr>
      <w:r>
        <w:rPr>
          <w:sz w:val="16"/>
        </w:rPr>
        <w:t>Source: Company reports and Credit Suisse First Boston</w:t>
      </w:r>
    </w:p>
    <w:p>
      <w:pPr>
        <w:pStyle w:val="Text"/>
        <w:rPr/>
      </w:pPr>
      <w:r>
        <w:rPr/>
      </w:r>
    </w:p>
    <w:p>
      <w:pPr>
        <w:pStyle w:val="Head2"/>
        <w:rPr/>
      </w:pPr>
      <w:r>
        <w:rPr/>
        <w:t>New Economy Themes</w:t>
      </w:r>
    </w:p>
    <w:p>
      <w:pPr>
        <w:pStyle w:val="Text"/>
        <w:rPr/>
      </w:pPr>
      <w:r>
        <w:rPr/>
        <w:t xml:space="preserve">Duke has successfully employed new economy themes throughout many of its individual business segments, as well as working to create a pervasive theme in which knowledge plays a key role throughout the organization as a whole.  </w:t>
      </w:r>
    </w:p>
    <w:p>
      <w:pPr>
        <w:pStyle w:val="Text"/>
        <w:rPr/>
      </w:pPr>
      <w:r>
        <w:rPr/>
        <w:t xml:space="preserve">We see a very distinct change, for example, in Duke’s portfolio management strategy.  Where historically Duke (and most other utilities) viewed projects with a buy and hold mentality, the company has shifted towards a continuous optimization strategy.  In this way, power plants (or any other asset) represent less of an annuitized stream of cash flows than a dynamic piece of a larger portfolio. We believe that this is indicative of a much broader organizational change – from one in which the focus was placed on the asset towards one in which the focus is placed on the knowledge base.  Duke’s current strategy requires management to look at how each potential new asset optimizes the value of existing assets, and constantly analyzes whether monetization creates more value than holding on to an asset. </w:t>
      </w:r>
    </w:p>
    <w:p>
      <w:pPr>
        <w:pStyle w:val="Text"/>
        <w:rPr/>
      </w:pPr>
      <w:r>
        <w:rPr>
          <w:rStyle w:val="Head4"/>
        </w:rPr>
        <w:t>Trading and Marketing</w:t>
      </w:r>
      <w:r>
        <w:rPr>
          <w:color w:val="FFFFFF"/>
        </w:rPr>
        <w:t>—</w:t>
      </w:r>
      <w:r>
        <w:rPr/>
        <w:t>Duke is emerging as one of the top trading and marketing organizations in the sector.  In addition to plain vanilla marketing, the group has developed a full-service risk management organization skilled in the analysis of customer risk profiles and development of customized risk management plans, which are typically higher margin transactions. Duke Energy employs the full spectrum of risk management tools such as options and long-term commodity swaps to assist with management of energy price risk and help customers achieve improved results, capturing a spread on each of these structured deals.</w:t>
      </w:r>
    </w:p>
    <w:p>
      <w:pPr>
        <w:pStyle w:val="Text"/>
        <w:rPr/>
      </w:pPr>
      <w:r>
        <w:rPr>
          <w:rFonts w:eastAsia="Arial"/>
        </w:rPr>
        <w:t xml:space="preserve"> </w:t>
      </w:r>
      <w:r>
        <w:rPr/>
        <w:t xml:space="preserve">The foundation for the substantial 24.5% ROIC for this segment in 1998 was clearly intellectual capital.  Over the last two years, the changes that Duke has implemented in its strategy have helped it attract new talent into the organization—in fact, it created an entirely new senior management team to innovate its trading and risk management businesses.  These managers have never been part of the bureaucratic utility structure, and have contributed substantially to changing the overall organization. </w:t>
      </w:r>
    </w:p>
    <w:p>
      <w:pPr>
        <w:pStyle w:val="Text"/>
        <w:rPr/>
      </w:pPr>
      <w:r>
        <w:rPr/>
        <w:t>With the deregulation of the electric markets still in the early stages, Duke sees the prospects for substantial growth in this segment. We forecast a CAGR of 19% for the EBIT contributions from Trading and Marketing through 2001, and expect that this growth profile should continue for a number of years subsequent to 2001.</w:t>
      </w:r>
    </w:p>
    <w:p>
      <w:pPr>
        <w:pStyle w:val="Text"/>
        <w:rPr/>
      </w:pPr>
      <w:r>
        <w:rPr/>
        <w:t xml:space="preserve">Importantly, Duke is already working to replicate the success of its North American trading and marketing activities in its international operations.  In particular, in July and August of 1999, Duke acquired a substantial asset base in Latin America.  While the economics of these acquisitions are attractive on a stand-alone basis, the strategic value is actually much higher.  The company plans to develop a portfolio level trading strategy around these assets.  Although the markets are in very different stages of the develop, we believe that much of the intellectual capital is easily transferable. </w:t>
      </w:r>
    </w:p>
    <w:p>
      <w:pPr>
        <w:pStyle w:val="Head2"/>
        <w:rPr/>
      </w:pPr>
      <w:r>
        <w:rPr/>
        <w:t>Valuation Metrics</w:t>
      </w:r>
    </w:p>
    <w:p>
      <w:pPr>
        <w:pStyle w:val="Head3"/>
        <w:rPr/>
      </w:pPr>
      <w:r>
        <w:rPr/>
        <w:t>Value Based Analysis</w:t>
      </w:r>
    </w:p>
    <w:p>
      <w:pPr>
        <w:pStyle w:val="Text"/>
        <w:rPr>
          <w:color w:val="000000"/>
        </w:rPr>
      </w:pPr>
      <w:r>
        <w:rPr>
          <w:color w:val="000000"/>
        </w:rPr>
        <w:t>Over the next 2-5 years, we expect that Duke will be able to capitalize on the changes that are currently reshaping the industry and be one of the sector’s true success stories.  The changing profile of its operational focus should lead to an overall increase in invested capital turnover.  The incremental revenue growth driven in trading and marketing should continue to be supported by comparatively modest capital investment requirements.</w:t>
      </w:r>
    </w:p>
    <w:p>
      <w:pPr>
        <w:pStyle w:val="Text"/>
        <w:rPr/>
      </w:pPr>
      <w:r>
        <w:rPr>
          <w:rStyle w:val="Head4"/>
        </w:rPr>
        <w:t>ROIC</w:t>
      </w:r>
      <w:r>
        <w:rPr>
          <w:color w:val="FFFFFF"/>
        </w:rPr>
        <w:t>—</w:t>
      </w:r>
      <w:r>
        <w:rPr>
          <w:color w:val="000000"/>
        </w:rPr>
        <w:t xml:space="preserve">We forecast that the company’s ROIC should grow from 6.4% in 1999 to 9.8% in 2002.  </w:t>
      </w:r>
    </w:p>
    <w:p>
      <w:pPr>
        <w:pStyle w:val="Text"/>
        <w:rPr/>
      </w:pPr>
      <w:r>
        <w:rPr>
          <w:rStyle w:val="Head4"/>
        </w:rPr>
        <w:t>NOPAT Margins</w:t>
      </w:r>
      <w:r>
        <w:rPr>
          <w:color w:val="FFFFFF"/>
        </w:rPr>
        <w:t>—</w:t>
      </w:r>
      <w:r>
        <w:rPr>
          <w:color w:val="000000"/>
        </w:rPr>
        <w:t xml:space="preserve">In 1998, Duke’s NOPAT margins were 9%, an increase of almost 5% over the prior year.  We forecast decreasing NOPAT margins over the next 2-5 years, dropping to 6% by 2002, because trading and marketing is expected to comprise an increasingly large piece of Duke’s overall economics, which is a high volume, low margin business compared with to its traditional operations.  </w:t>
      </w:r>
    </w:p>
    <w:p>
      <w:pPr>
        <w:pStyle w:val="Text"/>
        <w:rPr/>
      </w:pPr>
      <w:r>
        <w:rPr>
          <w:rStyle w:val="Head4"/>
        </w:rPr>
        <w:t>Invested Capital Turnover</w:t>
      </w:r>
      <w:r>
        <w:rPr>
          <w:color w:val="FFFFFF"/>
        </w:rPr>
        <w:t>—</w:t>
      </w:r>
      <w:r>
        <w:rPr>
          <w:color w:val="000000"/>
        </w:rPr>
        <w:t>Duke’s invested capital turns have almost doubled over the last five years, from 0.34 in 1994 to 0.66 in 1998.  We forecast a continued acceleration in capital turns over the next few years, driven primarily by the development trading and marketing and other knowledge-based strategies, reaching 1.80 by 2002.</w:t>
      </w:r>
    </w:p>
    <w:p>
      <w:pPr>
        <w:pStyle w:val="Text"/>
        <w:rPr/>
      </w:pPr>
      <w:r>
        <w:rPr>
          <w:rStyle w:val="Head4"/>
        </w:rPr>
        <w:t>Sales</w:t>
      </w:r>
      <w:r>
        <w:rPr>
          <w:color w:val="FFFFFF"/>
        </w:rPr>
        <w:t>—</w:t>
      </w:r>
      <w:r>
        <w:rPr>
          <w:color w:val="000000"/>
        </w:rPr>
        <w:t>In order to isolate the very different profiles of Duke’s varied businesses, we have applied specific sales growth rates to each: 30%-40% annual growth at trading and marketing, 8-10% growth at the combined global asset development and utility segments, and 12% topline growth for Field Services and Duke’s other operations.  Similarly, we applied individual operating margins to arrive at the consolidated margins discussed previously.</w:t>
      </w:r>
    </w:p>
    <w:p>
      <w:pPr>
        <w:pStyle w:val="Head3"/>
        <w:rPr/>
      </w:pPr>
      <w:r>
        <w:rPr/>
        <w:t>Traditional Metrics</w:t>
      </w:r>
    </w:p>
    <w:p>
      <w:pPr>
        <w:pStyle w:val="Text"/>
        <w:rPr/>
      </w:pPr>
      <w:r>
        <w:rPr/>
        <w:t xml:space="preserve">The stock is trading at 12.6x and 11.5x times our 2000-2001 EPS estimates, compared with our new economy universe average of 11.6x and 10.6x times for the same time periods.  The stock’s dividend yield is a below average 4.4%, compared to the 4.9% universe average. Our 12-18 month price target is $66, based on our discounted earnings valuation approach.  At this price, Duke would trade at 15.0x times our 2001 EPS estimates.  </w:t>
      </w:r>
    </w:p>
    <w:p>
      <w:pPr>
        <w:pStyle w:val="Text"/>
        <w:rPr/>
      </w:pPr>
      <w:r>
        <w:rPr/>
        <w:t>While we view this multiple as reasonable for a utility company of this quality, risk, and earnings potential, we continue to stress our belief that Duke’s current growth prospects, as well as the strength of its skillset with regard to its unregulated businesses, warrant a multiple expansion.  At this multiple, Duke would be trading at a considerable 32% discount to the S&amp;P 500, which we believe suggests substantial upside potential for Duke’s shares.</w:t>
      </w:r>
    </w:p>
    <w:p>
      <w:pPr>
        <w:pStyle w:val="Text"/>
        <w:rPr/>
      </w:pPr>
      <w:r>
        <w:rPr/>
      </w:r>
    </w:p>
    <w:p>
      <w:pPr>
        <w:pStyle w:val="CameraReadyTableTitle"/>
        <w:rPr/>
      </w:pPr>
      <w:r>
        <w:rPr/>
        <w:t>Exhibit 10</w:t>
        <w:br/>
        <w:t>Duke Energy ROIC vs WACC</w:t>
      </w:r>
    </w:p>
    <w:p>
      <w:pPr>
        <w:pStyle w:val="CameraReadyTableSubtitle"/>
        <w:rPr/>
      </w:pPr>
      <w:r>
        <w:rPr/>
        <w:t>1994-2004E</w:t>
      </w:r>
    </w:p>
    <w:p>
      <w:pPr>
        <w:pStyle w:val="Picture"/>
        <w:rPr/>
      </w:pPr>
      <w:r>
        <w:rPr/>
        <w:drawing>
          <wp:inline distT="0" distB="0" distL="0" distR="0">
            <wp:extent cx="4589145" cy="1877695"/>
            <wp:effectExtent l="0" t="0" r="0" b="0"/>
            <wp:docPr id="26"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 descr="" title=""/>
                    <pic:cNvPicPr>
                      <a:picLocks noChangeAspect="1" noChangeArrowheads="1"/>
                    </pic:cNvPicPr>
                  </pic:nvPicPr>
                  <pic:blipFill>
                    <a:blip r:embed="rId46"/>
                    <a:srcRect l="-7" t="-17" r="-7" b="-17"/>
                    <a:stretch>
                      <a:fillRect/>
                    </a:stretch>
                  </pic:blipFill>
                  <pic:spPr bwMode="auto">
                    <a:xfrm>
                      <a:off x="0" y="0"/>
                      <a:ext cx="4589145" cy="1877695"/>
                    </a:xfrm>
                    <a:prstGeom prst="rect">
                      <a:avLst/>
                    </a:prstGeom>
                    <a:noFill/>
                  </pic:spPr>
                </pic:pic>
              </a:graphicData>
            </a:graphic>
          </wp:inline>
        </w:drawing>
      </w:r>
    </w:p>
    <w:p>
      <w:pPr>
        <w:pStyle w:val="Picture"/>
        <w:rPr/>
      </w:pPr>
      <w:r>
        <w:rPr/>
      </w:r>
    </w:p>
    <w:p>
      <w:pPr>
        <w:pStyle w:val="Picture"/>
        <w:rPr/>
      </w:pPr>
      <w:r>
        <w:rPr/>
      </w:r>
    </w:p>
    <w:p>
      <w:pPr>
        <w:pStyle w:val="Picture"/>
        <w:rPr/>
      </w:pPr>
      <w:r>
        <w:rPr/>
      </w:r>
    </w:p>
    <w:p>
      <w:pPr>
        <w:pStyle w:val="Picture"/>
        <w:rPr/>
      </w:pPr>
      <w:r>
        <w:rPr/>
      </w:r>
    </w:p>
    <w:p>
      <w:pPr>
        <w:pStyle w:val="Picture"/>
        <w:rPr/>
      </w:pPr>
      <w:r>
        <w:rPr/>
      </w:r>
    </w:p>
    <w:p>
      <w:pPr>
        <w:pStyle w:val="Picture"/>
        <w:rPr/>
      </w:pPr>
      <w:r>
        <w:rPr/>
      </w:r>
    </w:p>
    <w:p>
      <w:pPr>
        <w:pStyle w:val="CameraReadyTableTitle"/>
        <w:rPr/>
      </w:pPr>
      <w:r>
        <w:rPr/>
        <w:t>Exhibit 11</w:t>
        <w:br/>
        <w:t>Duke Energy Economic Profit Trends</w:t>
      </w:r>
    </w:p>
    <w:p>
      <w:pPr>
        <w:pStyle w:val="CameraReadyTableSubtitle"/>
        <w:rPr/>
      </w:pPr>
      <w:r>
        <w:rPr/>
        <w:t>1994-2004E</w:t>
      </w:r>
    </w:p>
    <w:p>
      <w:pPr>
        <w:pStyle w:val="Picture"/>
        <w:rPr/>
      </w:pPr>
      <w:r>
        <w:rPr/>
        <w:drawing>
          <wp:inline distT="0" distB="0" distL="0" distR="0">
            <wp:extent cx="4587875" cy="2285365"/>
            <wp:effectExtent l="0" t="0" r="0" b="0"/>
            <wp:docPr id="27"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9" descr="" title=""/>
                    <pic:cNvPicPr>
                      <a:picLocks noChangeAspect="1" noChangeArrowheads="1"/>
                    </pic:cNvPicPr>
                  </pic:nvPicPr>
                  <pic:blipFill>
                    <a:blip r:embed="rId47"/>
                    <a:srcRect l="-7" t="-14" r="-7" b="-14"/>
                    <a:stretch>
                      <a:fillRect/>
                    </a:stretch>
                  </pic:blipFill>
                  <pic:spPr bwMode="auto">
                    <a:xfrm>
                      <a:off x="0" y="0"/>
                      <a:ext cx="4587875" cy="2285365"/>
                    </a:xfrm>
                    <a:prstGeom prst="rect">
                      <a:avLst/>
                    </a:prstGeom>
                    <a:noFill/>
                  </pic:spPr>
                </pic:pic>
              </a:graphicData>
            </a:graphic>
          </wp:inline>
        </w:drawing>
      </w:r>
    </w:p>
    <w:p>
      <w:pPr>
        <w:pStyle w:val="Head1"/>
        <w:rPr/>
      </w:pPr>
      <w:bookmarkStart w:id="20" w:name="__RefHeading___Toc471702826"/>
      <w:bookmarkEnd w:id="20"/>
      <w:r>
        <w:rPr/>
        <w:t>Dominion Resources</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Strong 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$51</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rFonts w:eastAsia="Arial"/>
              </w:rPr>
              <w:t xml:space="preserve"> </w:t>
            </w:r>
            <w:r>
              <w:rPr/>
              <w:t>$3.01</w:t>
            </w:r>
          </w:p>
        </w:tc>
        <w:tc>
          <w:tcPr>
            <w:tcW w:w="1530" w:type="dxa"/>
            <w:tcBorders/>
            <w:shd w:fill="DFDFDF" w:val="clear"/>
          </w:tcPr>
          <w:p>
            <w:pPr>
              <w:pStyle w:val="Text"/>
              <w:spacing w:before="0" w:after="120"/>
              <w:jc w:val="center"/>
              <w:rPr/>
            </w:pPr>
            <w:r>
              <w:rPr/>
              <w:t xml:space="preserve">$3.27 </w:t>
            </w:r>
          </w:p>
        </w:tc>
        <w:tc>
          <w:tcPr>
            <w:tcW w:w="1350" w:type="dxa"/>
            <w:tcBorders>
              <w:end w:val="single" w:sz="4" w:space="0" w:color="000000"/>
            </w:tcBorders>
            <w:shd w:fill="DFDFDF" w:val="clear"/>
          </w:tcPr>
          <w:p>
            <w:pPr>
              <w:pStyle w:val="Text"/>
              <w:spacing w:before="0" w:after="120"/>
              <w:jc w:val="center"/>
              <w:rPr/>
            </w:pPr>
            <w:r>
              <w:rPr/>
              <w:t xml:space="preserve">$3.60 </w:t>
            </w:r>
          </w:p>
        </w:tc>
      </w:tr>
      <w:tr>
        <w:trPr>
          <w:trHeight w:val="173" w:hRule="atLeast"/>
        </w:trPr>
        <w:tc>
          <w:tcPr>
            <w:tcW w:w="2898" w:type="dxa"/>
            <w:tcBorders>
              <w:start w:val="single" w:sz="4" w:space="0" w:color="000000"/>
              <w:bottom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jc w:val="center"/>
              <w:rPr>
                <w:b/>
              </w:rPr>
            </w:pPr>
            <w:r>
              <w:rPr>
                <w:b/>
              </w:rPr>
              <w:t>1998</w:t>
            </w:r>
          </w:p>
          <w:p>
            <w:pPr>
              <w:pStyle w:val="Text"/>
              <w:spacing w:before="0" w:after="120"/>
              <w:jc w:val="center"/>
              <w:rPr/>
            </w:pPr>
            <w:r>
              <w:rPr/>
              <w:t>5.5%</w:t>
            </w:r>
          </w:p>
        </w:tc>
        <w:tc>
          <w:tcPr>
            <w:tcW w:w="1530" w:type="dxa"/>
            <w:tcBorders>
              <w:top w:val="single" w:sz="6" w:space="0" w:color="808080"/>
              <w:bottom w:val="single" w:sz="4" w:space="0" w:color="000000"/>
            </w:tcBorders>
            <w:shd w:fill="DFDFDF" w:val="clear"/>
          </w:tcPr>
          <w:p>
            <w:pPr>
              <w:pStyle w:val="Text"/>
              <w:jc w:val="center"/>
              <w:rPr>
                <w:b/>
              </w:rPr>
            </w:pPr>
            <w:r>
              <w:rPr>
                <w:b/>
              </w:rPr>
              <w:t>2000</w:t>
            </w:r>
          </w:p>
          <w:p>
            <w:pPr>
              <w:pStyle w:val="Text"/>
              <w:spacing w:before="0" w:after="120"/>
              <w:jc w:val="center"/>
              <w:rPr/>
            </w:pPr>
            <w:r>
              <w:rPr/>
              <w:t>5.9%</w:t>
            </w:r>
          </w:p>
        </w:tc>
        <w:tc>
          <w:tcPr>
            <w:tcW w:w="1350" w:type="dxa"/>
            <w:tcBorders>
              <w:top w:val="single" w:sz="6" w:space="0" w:color="808080"/>
              <w:bottom w:val="single" w:sz="4" w:space="0" w:color="000000"/>
              <w:end w:val="single" w:sz="4" w:space="0" w:color="000000"/>
            </w:tcBorders>
            <w:shd w:fill="DFDFDF" w:val="clear"/>
          </w:tcPr>
          <w:p>
            <w:pPr>
              <w:pStyle w:val="Text"/>
              <w:jc w:val="center"/>
              <w:rPr>
                <w:b/>
              </w:rPr>
            </w:pPr>
            <w:r>
              <w:rPr>
                <w:b/>
              </w:rPr>
              <w:t>2002</w:t>
            </w:r>
          </w:p>
          <w:p>
            <w:pPr>
              <w:pStyle w:val="Text"/>
              <w:spacing w:before="0" w:after="120"/>
              <w:jc w:val="center"/>
              <w:rPr/>
            </w:pPr>
            <w:r>
              <w:rPr/>
              <w:t>7.1%</w:t>
            </w:r>
          </w:p>
        </w:tc>
      </w:tr>
    </w:tbl>
    <w:p>
      <w:pPr>
        <w:pStyle w:val="Text"/>
        <w:rPr/>
      </w:pPr>
      <w:r>
        <w:rPr/>
      </w:r>
    </w:p>
    <w:p>
      <w:pPr>
        <w:pStyle w:val="Text"/>
        <w:rPr/>
      </w:pPr>
      <w:r>
        <w:rPr/>
        <w:t xml:space="preserve">We are raising our recommendation on Dominion Resources to a Strong Buy from a Buy. In addition to many of the intrinsic benefits that we believe arise from the combination of Dominion and CNG, a new management style and focus has emerged for the consolidated company that fits many of our new economy themes.  </w:t>
      </w:r>
    </w:p>
    <w:p>
      <w:pPr>
        <w:pStyle w:val="Text"/>
        <w:rPr/>
      </w:pPr>
      <w:r>
        <w:rPr/>
        <w:t>This new style is marked by an almost singular focus on shareholder value, and is facilitated by an increasingly decentralized, incentivized organizational structure. Management’s compensation is now heavily tied to its stock performance through stock options and aggressive minimum stock ownership requirements for officers.  While this is most notable at the executive level, the company has implemented this strategy down the management chain as well.  We believe that this is an essential shift on the part of Dominion, and shows strong commitment to achieving the earnings goals that it has indicated.</w:t>
      </w:r>
    </w:p>
    <w:p>
      <w:pPr>
        <w:pStyle w:val="Text"/>
        <w:rPr/>
      </w:pPr>
      <w:r>
        <w:rPr/>
        <w:t>Dominion has already begun to demonstrate a strategic asset optimization strategy by divesting its Latin American and U.K. assets and redirecting the proceeds towards exploiting its regional competitive advantages.  In addition, the pending divestiture of Dominion Capital should provide a continued vehicle for the company to strengthen its regional generation strategy (in essence, allowing it to build out this strategy without adding significantly to its current invested capital base).</w:t>
      </w:r>
    </w:p>
    <w:p>
      <w:pPr>
        <w:pStyle w:val="Text"/>
        <w:rPr/>
      </w:pPr>
      <w:r>
        <w:rPr/>
        <w:t>In addition, we are reforecasting our 2000-2001 earnings estimates for the consolidated Dominion/CNG.  Our revised estimates are $3.27 and $3.60 for 2000 and 2001 respectively, up from $3.23 and $3.46.  Our 1999 estimate remains unchanged at $3.01.  As the merger nears completion, we have more accurately reflected the expected synergies from the combination and the positive regulatory treatment afforded by the state commissions, which did not require that these synergies be shared with ratepayers, as originally anticipated.  In addition, we have more explicitly forecasted the positive benefits from combining the two stand-alone E&amp;P operations.</w:t>
      </w:r>
    </w:p>
    <w:p>
      <w:pPr>
        <w:pStyle w:val="Head2"/>
        <w:rPr/>
      </w:pPr>
      <w:r>
        <w:rPr/>
        <w:t>New Economy Themes</w:t>
      </w:r>
    </w:p>
    <w:p>
      <w:pPr>
        <w:pStyle w:val="Text"/>
        <w:rPr/>
      </w:pPr>
      <w:r>
        <w:rPr/>
        <w:t xml:space="preserve">Dominion’s current strategy contains many elements of all of our new economy value models, although it does not fit neatly into one particular category.  The company is working to generate incremental revenue off of its existing capital base through its energy marketing operations and its focus on commodity arbitrage.   While marketing activities have a relatively tight NOPAT margin, Dominion is evaluating best practices at both CNG’s and its own standalone E&amp;P operations in order to restructure a more efficient combined E&amp;P operation, which would effectively increase margins at this segment.  In addition, the expected synergies from the acquisition of CNG should also improve the company’s consolidated NOPAT margins, which we forecast should increase from 15.3% in 1998 to almost 25% in 2001.  </w:t>
      </w:r>
    </w:p>
    <w:p>
      <w:pPr>
        <w:pStyle w:val="Text"/>
        <w:rPr/>
      </w:pPr>
      <w:r>
        <w:rPr/>
        <w:t>We believe that this management team should be successful because it is quietly conquering the basic tenets of the competitive, new economy model. More than many others in the industry, Dominion has communicated a consciousness of the changing role of capital efficiency in the developing power sector, which is one of the key aspects of becoming a new economy electric.  The company has publicly stated that it will not consider acquisitions that do not create immediate shareholder value and that it understands that the acquisition of assets at “any cost” are destructive to value.   As we discussed previously in this report, these are among the fundamental changes that have led to the emergence of the new economy electric.</w:t>
      </w:r>
    </w:p>
    <w:p>
      <w:pPr>
        <w:pStyle w:val="Text"/>
        <w:rPr/>
      </w:pPr>
      <w:r>
        <w:rPr/>
        <w:t>As noted, Dominion does not fit entirely into any one of our new economy models.  More importantly, however, we have identified specific new economy characteristics in nearly all of its business segments, including the following:</w:t>
      </w:r>
    </w:p>
    <w:p>
      <w:pPr>
        <w:pStyle w:val="Text"/>
        <w:rPr/>
      </w:pPr>
      <w:r>
        <w:rPr>
          <w:rStyle w:val="Head4"/>
        </w:rPr>
        <w:t>Marketing</w:t>
      </w:r>
      <w:r>
        <w:rPr>
          <w:color w:val="FFFFFF"/>
        </w:rPr>
        <w:t>—</w:t>
      </w:r>
      <w:r>
        <w:rPr>
          <w:color w:val="000000"/>
        </w:rPr>
        <w:t>While Dominion has not aggressively entered into the multi-product trading and marketing strategy employed by Enron, Duke, and Reliant, it has become proficient in extracting value from its existing generation assets by marketing its excess generation in the wholesale market.  It has developed a solid knowledge base, and trades in several regional markets in order to obtain the highest price for its excess capacity.  Using sophisticated hedging strategies, Dominion has translated these activities into a stable, comparatively moderate risk business that provided substantial earnings, with little incremental invested capital.</w:t>
      </w:r>
    </w:p>
    <w:p>
      <w:pPr>
        <w:pStyle w:val="Text"/>
        <w:rPr/>
      </w:pPr>
      <w:r>
        <w:rPr>
          <w:rStyle w:val="Head4"/>
        </w:rPr>
        <w:t>Strategic Generation Development Projects</w:t>
      </w:r>
      <w:r>
        <w:rPr>
          <w:color w:val="FFFFFF"/>
        </w:rPr>
        <w:t>—</w:t>
      </w:r>
      <w:r>
        <w:rPr>
          <w:color w:val="000000"/>
        </w:rPr>
        <w:t xml:space="preserve">Dominion is in the process of building 2,100 megawatts of new gas fired generation along the CNG pipeline, of which 1,500-1,800 is expected to come on line by 2002.  These projects will facilitate the company’s arbitrage opportunities, by allowing it to take advantage of price disparities across the gas and electricity markets. </w:t>
      </w:r>
    </w:p>
    <w:p>
      <w:pPr>
        <w:pStyle w:val="Text"/>
        <w:rPr/>
      </w:pPr>
      <w:r>
        <w:rPr>
          <w:rStyle w:val="Head4"/>
        </w:rPr>
        <w:t>Telecommunications</w:t>
      </w:r>
      <w:r>
        <w:rPr>
          <w:color w:val="FFFFFF"/>
        </w:rPr>
        <w:t>—</w:t>
      </w:r>
      <w:r>
        <w:rPr>
          <w:color w:val="000000"/>
        </w:rPr>
        <w:t xml:space="preserve">Another example of how Dominion is creating new revenue opportunities by leveraging its existing assets is telecommunications.  While this is not as prominent an aspect of their strategy as it has become for others in the sector, it demonstrates management’s intention to extract the most out of every part of its existing business.  For example, the company has begun to add antennas to its transmission towers, which it monetizes through long-term leases with cellular companies.  Management is currently evaluating other opportunities, including joint ventures, through which it could substantially increase its value opportunities available through telecommunications. </w:t>
      </w:r>
    </w:p>
    <w:p>
      <w:pPr>
        <w:pStyle w:val="Head2"/>
        <w:rPr/>
      </w:pPr>
      <w:r>
        <w:rPr/>
        <w:t>Valuation Metrics</w:t>
      </w:r>
    </w:p>
    <w:p>
      <w:pPr>
        <w:pStyle w:val="Head3"/>
        <w:rPr/>
      </w:pPr>
      <w:r>
        <w:rPr/>
        <w:t>Value Based Analysis</w:t>
      </w:r>
    </w:p>
    <w:p>
      <w:pPr>
        <w:pStyle w:val="Text"/>
        <w:rPr>
          <w:color w:val="000000"/>
        </w:rPr>
      </w:pPr>
      <w:r>
        <w:rPr>
          <w:color w:val="000000"/>
        </w:rPr>
        <w:t xml:space="preserve">We expect that through continued innovation and existing operations, Dominion should generate substantial improvements in the quality of the 8-10% earnings growth that it has targeted.  We believe that because this growth is being driven not by financial re-engineering but by operational excellence, Dominion should continue to reap the economic benefits of its existing regional competitive advantages and core competencies.  </w:t>
      </w:r>
    </w:p>
    <w:p>
      <w:pPr>
        <w:pStyle w:val="Text"/>
        <w:rPr/>
      </w:pPr>
      <w:r>
        <w:rPr>
          <w:rStyle w:val="Head4"/>
        </w:rPr>
        <w:t>ROIC</w:t>
      </w:r>
      <w:r>
        <w:rPr>
          <w:color w:val="FFFFFF"/>
        </w:rPr>
        <w:t>—</w:t>
      </w:r>
      <w:r>
        <w:rPr>
          <w:color w:val="000000"/>
        </w:rPr>
        <w:t xml:space="preserve">We forecast that the company’s ROIC should grow from 4.9% in 1999 to 7.1% in 2002, as the expected synergies from the merger with CNG are realized.  In addition, we note that these are conservative estimates, as they reflect the assumption that the proceeds from the divestiture of the Dominion Capital and Virginia Natural Gas are used to pay down debt.  As ROIC focuses only on unlevered earnings, to the extent that Dominion actually uses the proceeds to grow its business we would expect to see an increase in its returns on invested capital.  </w:t>
      </w:r>
    </w:p>
    <w:p>
      <w:pPr>
        <w:pStyle w:val="Text"/>
        <w:rPr/>
      </w:pPr>
      <w:r>
        <w:rPr>
          <w:rStyle w:val="Head4"/>
        </w:rPr>
        <w:t>NOPAT Margins</w:t>
      </w:r>
      <w:r>
        <w:rPr>
          <w:color w:val="FFFFFF"/>
        </w:rPr>
        <w:t>—</w:t>
      </w:r>
      <w:r>
        <w:rPr>
          <w:color w:val="000000"/>
        </w:rPr>
        <w:t>In 1998, Dominion’s NOPAT margins were 15.3%, relatively in line with the previous year.  We forecast increasing NOPAT margins over the next 2-5 years, reaching 26% by 2002, as the realities of merger synergies are achieved.  While this increase appears substantial, we note that there are two large above market purchased power contracts dropping off at Virginia Power in 2000 and 2001, which contribute significantly to this increase.</w:t>
      </w:r>
    </w:p>
    <w:p>
      <w:pPr>
        <w:pStyle w:val="Text"/>
        <w:rPr/>
      </w:pPr>
      <w:r>
        <w:rPr>
          <w:rStyle w:val="Head4"/>
        </w:rPr>
        <w:t>Invested Capital Turnover</w:t>
      </w:r>
      <w:r>
        <w:rPr>
          <w:color w:val="FFFFFF"/>
        </w:rPr>
        <w:t>—</w:t>
      </w:r>
      <w:r>
        <w:rPr>
          <w:color w:val="000000"/>
        </w:rPr>
        <w:t>Dominion’s invested capital turns have remained relatively constant over the last five years, and were 0.36 in 1998.  We forecast an immediate decrease in capital turns as a result of the acquisition of CNG.  However, we subsequently expect turns to increase modestly year-over-year, reaching 0.26 by 2002.</w:t>
      </w:r>
    </w:p>
    <w:p>
      <w:pPr>
        <w:pStyle w:val="Text"/>
        <w:rPr/>
      </w:pPr>
      <w:r>
        <w:rPr>
          <w:rStyle w:val="Head4"/>
        </w:rPr>
        <w:t>Sales</w:t>
      </w:r>
      <w:r>
        <w:rPr>
          <w:color w:val="FFFFFF"/>
        </w:rPr>
        <w:t>—</w:t>
      </w:r>
      <w:r>
        <w:rPr>
          <w:color w:val="000000"/>
        </w:rPr>
        <w:t>Through 2001, we expect that the divestitures of the Latin American assets, Dominion Capital, and Virginia Natural gas will result in top-line declines.  However, with the incremental 1,800 megawatts that are scheduled to come on line in 2002 and the onset of retail marketing efforts, we expect a substantial 18.5% revenue increase in 2002, which subsequently declines to a more normal level of growth off of the 2002 base.</w:t>
      </w:r>
    </w:p>
    <w:p>
      <w:pPr>
        <w:pStyle w:val="Head3"/>
        <w:rPr/>
      </w:pPr>
      <w:r>
        <w:rPr/>
        <w:t>Traditional Metrics</w:t>
      </w:r>
    </w:p>
    <w:p>
      <w:pPr>
        <w:pStyle w:val="Text"/>
        <w:rPr/>
      </w:pPr>
      <w:r>
        <w:rPr/>
        <w:t>We believe that even assuming dilution from the impending merger with CNG in 2000, Dominion is currently undervalued.  The stock is trading at 13.6x and 12.5x times our 1999 and 2000 estimates, compared with our universe averages of 12.9x and 11.6x. Based on the growth prospects in 2000 and beyond, we believe that the new company should trade at a premium to the electric group.  Based on the current dividend policy, which the company has reaffirmed, the stock currently has a 6.3</w:t>
      </w:r>
      <w:r>
        <w:rPr>
          <w:b/>
        </w:rPr>
        <w:t>%</w:t>
      </w:r>
      <w:r>
        <w:rPr/>
        <w:t xml:space="preserve"> dividend yield compared with 4.9% for our universe. Our 12-month price target is $51; combined with Dominion’s strong dividend yield, a total return of 31% is possible.</w:t>
      </w:r>
    </w:p>
    <w:p>
      <w:pPr>
        <w:pStyle w:val="Text"/>
        <w:rPr/>
      </w:pPr>
      <w:r>
        <w:rPr/>
      </w:r>
    </w:p>
    <w:p>
      <w:pPr>
        <w:pStyle w:val="CameraReadyTableTitle"/>
        <w:rPr/>
      </w:pPr>
      <w:r>
        <w:rPr/>
        <w:t>Exhibit 12</w:t>
        <w:br/>
        <w:t>Dominion Resources ROIC vs WACC</w:t>
      </w:r>
    </w:p>
    <w:p>
      <w:pPr>
        <w:pStyle w:val="CameraReadyTableSubtitle"/>
        <w:rPr/>
      </w:pPr>
      <w:r>
        <w:rPr/>
        <w:t>1994-2003E</w:t>
      </w:r>
    </w:p>
    <w:p>
      <w:pPr>
        <w:sectPr>
          <w:headerReference w:type="default" r:id="rId49"/>
          <w:headerReference w:type="first" r:id="rId50"/>
          <w:footerReference w:type="default" r:id="rId51"/>
          <w:footerReference w:type="first" r:id="rId52"/>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Picture"/>
        <w:rPr/>
      </w:pPr>
      <w:r>
        <w:rPr/>
        <w:drawing>
          <wp:inline distT="0" distB="0" distL="0" distR="0">
            <wp:extent cx="4589145" cy="1877695"/>
            <wp:effectExtent l="0" t="0" r="0" b="0"/>
            <wp:docPr id="28"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 descr="" title=""/>
                    <pic:cNvPicPr>
                      <a:picLocks noChangeAspect="1" noChangeArrowheads="1"/>
                    </pic:cNvPicPr>
                  </pic:nvPicPr>
                  <pic:blipFill>
                    <a:blip r:embed="rId48"/>
                    <a:srcRect l="-7" t="-17" r="-7" b="-17"/>
                    <a:stretch>
                      <a:fillRect/>
                    </a:stretch>
                  </pic:blipFill>
                  <pic:spPr bwMode="auto">
                    <a:xfrm>
                      <a:off x="0" y="0"/>
                      <a:ext cx="4589145" cy="1877695"/>
                    </a:xfrm>
                    <a:prstGeom prst="rect">
                      <a:avLst/>
                    </a:prstGeom>
                    <a:noFill/>
                  </pic:spPr>
                </pic:pic>
              </a:graphicData>
            </a:graphic>
          </wp:inline>
        </w:drawing>
      </w:r>
    </w:p>
    <w:p>
      <w:pPr>
        <w:pStyle w:val="CameraReadyTableTitle"/>
        <w:rPr/>
      </w:pPr>
      <w:r>
        <w:rPr/>
        <w:t>Exhibit 13</w:t>
        <w:br/>
        <w:t>Dominion Resources Economic Profit Trends</w:t>
      </w:r>
    </w:p>
    <w:p>
      <w:pPr>
        <w:pStyle w:val="CameraReadyTableSubtitle"/>
        <w:rPr/>
      </w:pPr>
      <w:r>
        <w:rPr/>
        <w:t>1994-2003E</w:t>
      </w:r>
    </w:p>
    <w:p>
      <w:pPr>
        <w:pStyle w:val="Picture"/>
        <w:rPr/>
      </w:pPr>
      <w:r>
        <w:rPr/>
        <w:drawing>
          <wp:inline distT="0" distB="0" distL="0" distR="0">
            <wp:extent cx="4587875" cy="2138680"/>
            <wp:effectExtent l="0" t="0" r="0" b="0"/>
            <wp:docPr id="30"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1" descr="" title=""/>
                    <pic:cNvPicPr>
                      <a:picLocks noChangeAspect="1" noChangeArrowheads="1"/>
                    </pic:cNvPicPr>
                  </pic:nvPicPr>
                  <pic:blipFill>
                    <a:blip r:embed="rId53"/>
                    <a:srcRect l="-7" t="-15" r="-7" b="-15"/>
                    <a:stretch>
                      <a:fillRect/>
                    </a:stretch>
                  </pic:blipFill>
                  <pic:spPr bwMode="auto">
                    <a:xfrm>
                      <a:off x="0" y="0"/>
                      <a:ext cx="4587875" cy="2138680"/>
                    </a:xfrm>
                    <a:prstGeom prst="rect">
                      <a:avLst/>
                    </a:prstGeom>
                    <a:noFill/>
                  </pic:spPr>
                </pic:pic>
              </a:graphicData>
            </a:graphic>
          </wp:inline>
        </w:drawing>
      </w:r>
    </w:p>
    <w:p>
      <w:pPr>
        <w:pStyle w:val="Text"/>
        <w:rPr/>
      </w:pPr>
      <w:r>
        <w:rPr/>
      </w:r>
    </w:p>
    <w:p>
      <w:pPr>
        <w:pStyle w:val="Text"/>
        <w:rPr/>
      </w:pPr>
      <w:r>
        <w:rPr/>
      </w:r>
    </w:p>
    <w:p>
      <w:pPr>
        <w:pStyle w:val="Head1"/>
        <w:rPr/>
      </w:pPr>
      <w:bookmarkStart w:id="21" w:name="__RefHeading___Toc471702827"/>
      <w:bookmarkEnd w:id="21"/>
      <w:r>
        <w:rPr/>
        <w:t>Southern Company</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Strong 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$31-$32</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t>$1.89</w:t>
            </w:r>
          </w:p>
        </w:tc>
        <w:tc>
          <w:tcPr>
            <w:tcW w:w="1530" w:type="dxa"/>
            <w:tcBorders/>
            <w:shd w:fill="DFDFDF" w:val="clear"/>
          </w:tcPr>
          <w:p>
            <w:pPr>
              <w:pStyle w:val="Text"/>
              <w:spacing w:before="0" w:after="120"/>
              <w:jc w:val="center"/>
              <w:rPr/>
            </w:pPr>
            <w:r>
              <w:rPr/>
              <w:t>$2.05</w:t>
            </w:r>
          </w:p>
        </w:tc>
        <w:tc>
          <w:tcPr>
            <w:tcW w:w="1350" w:type="dxa"/>
            <w:tcBorders>
              <w:end w:val="single" w:sz="4" w:space="0" w:color="000000"/>
            </w:tcBorders>
            <w:shd w:fill="DFDFDF" w:val="clear"/>
          </w:tcPr>
          <w:p>
            <w:pPr>
              <w:pStyle w:val="Text"/>
              <w:spacing w:before="0" w:after="120"/>
              <w:jc w:val="center"/>
              <w:rPr/>
            </w:pPr>
            <w:r>
              <w:rPr/>
              <w:t>$2.21</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t>5.5%</w:t>
            </w:r>
          </w:p>
        </w:tc>
        <w:tc>
          <w:tcPr>
            <w:tcW w:w="1530" w:type="dxa"/>
            <w:tcBorders>
              <w:bottom w:val="single" w:sz="4" w:space="0" w:color="000000"/>
            </w:tcBorders>
            <w:shd w:fill="DFDFDF" w:val="clear"/>
          </w:tcPr>
          <w:p>
            <w:pPr>
              <w:pStyle w:val="Text"/>
              <w:spacing w:before="0" w:after="120"/>
              <w:jc w:val="center"/>
              <w:rPr/>
            </w:pPr>
            <w:r>
              <w:rPr/>
              <w:t>6.1%</w:t>
            </w:r>
          </w:p>
        </w:tc>
        <w:tc>
          <w:tcPr>
            <w:tcW w:w="1350" w:type="dxa"/>
            <w:tcBorders>
              <w:bottom w:val="single" w:sz="4" w:space="0" w:color="000000"/>
              <w:end w:val="single" w:sz="4" w:space="0" w:color="000000"/>
            </w:tcBorders>
            <w:shd w:fill="DFDFDF" w:val="clear"/>
          </w:tcPr>
          <w:p>
            <w:pPr>
              <w:pStyle w:val="Text"/>
              <w:spacing w:before="0" w:after="120"/>
              <w:jc w:val="center"/>
              <w:rPr/>
            </w:pPr>
            <w:r>
              <w:rPr/>
              <w:t>7.6%</w:t>
            </w:r>
          </w:p>
        </w:tc>
      </w:tr>
    </w:tbl>
    <w:p>
      <w:pPr>
        <w:pStyle w:val="Text"/>
        <w:rPr/>
      </w:pPr>
      <w:r>
        <w:rPr/>
      </w:r>
    </w:p>
    <w:p>
      <w:pPr>
        <w:pStyle w:val="Text"/>
        <w:rPr/>
      </w:pPr>
      <w:r>
        <w:rPr/>
        <w:t>We are raising our recommendation on Southern Company to a Strong Buy from a Buy.  We believe that Southern Company is transforming itself into a New Economy Electric and will be one of the dominant players in the electric /gas industry in the next five years. . The Company already has a strong position in the competitive energy markets in the United States and some good international investments.  Management’s strategic plan for future growth, combined with Southern’s extremely strong balance sheet should lead to above average EPS, ROIC and economic profit growth over the next five years.</w:t>
      </w:r>
    </w:p>
    <w:p>
      <w:pPr>
        <w:pStyle w:val="Text"/>
        <w:rPr>
          <w:b/>
        </w:rPr>
      </w:pPr>
      <w:r>
        <w:rPr>
          <w:b/>
        </w:rPr>
        <w:t>Company’s Strategy</w:t>
      </w:r>
    </w:p>
    <w:p>
      <w:pPr>
        <w:pStyle w:val="Text"/>
        <w:rPr/>
      </w:pPr>
      <w:r>
        <w:rPr/>
        <w:t xml:space="preserve">Southern Company should grow in several areas.  Through the combination of incremental revenues/earnings coming from new projects and trading/marketing at Southern Energy, slow growth at the utility and the repurchase of stock, Southern should be able to conservatively grow EPS at 8% annually through 2001.  At the same time the quality of that growth should improve as we see ROIC-WACC spread increase from –0.09% in 1998 to 1.9% in 2002 with a CAGR for ROIC of 8%. </w:t>
      </w:r>
    </w:p>
    <w:p>
      <w:pPr>
        <w:pStyle w:val="Text"/>
        <w:rPr/>
      </w:pPr>
      <w:r>
        <w:rPr/>
        <w:t>Southern’s largest non-regulated subsidiary Southern Energy should be the main catalyst of the improvement in both earnings growth and quality.  The regulated utility assets should be able to grow earnings 2%, while stock buyback, telecommunications and wholesale bulk power sales may contribute to some upside surprises.  With Southern down 22% over the last 12 months and trading at only 10.3 times 2001 earnings, we believe investors have a unique opportunity to capture value at $23 per share.</w:t>
      </w:r>
    </w:p>
    <w:p>
      <w:pPr>
        <w:pStyle w:val="Text"/>
        <w:rPr/>
      </w:pPr>
      <w:r>
        <w:rPr/>
        <w:t xml:space="preserve">We further believe that investors have a misperception that Southern’s international operations have not been successful.  In fact, with the exception of Latin America, international investments have been extremely profitable for Southern, and we expect will be a major growth driver.  Most significantly, our forecasts reflect a 3 year EPS growth rate of 45% from CEPA, Southern Energy’s Asian subsidiary, and an overall 22% 3 year growth rate at SEI.  With the expected divestiture of its Argentinean and Chilean investments, Southern’s Latin American exposure will decrease significantly, and plays an extremely minor role in the expected contributions from SEI overall.  </w:t>
      </w:r>
    </w:p>
    <w:p>
      <w:pPr>
        <w:pStyle w:val="Text"/>
        <w:rPr/>
      </w:pPr>
      <w:r>
        <w:rPr/>
        <w:t>Our forecasts project earnings contributions from SEI of $0.45, $0.55, and $0.63 in 1999, 2000, and 2001, respectively.  These estimates are conservative.  In addition, our forecasts assume a stable 2% growth rate from Southern’s utility operations.  Our EPS estimates for the regulated business are $1.64, $1.70, and $1.71 in 1999, 2000, and 2001, respectively.</w:t>
      </w:r>
    </w:p>
    <w:p>
      <w:pPr>
        <w:pStyle w:val="Text"/>
        <w:rPr/>
      </w:pPr>
      <w:r>
        <w:rPr/>
        <w:t>On a consolidated basis our EPS estimates are $1.89, $2.05 and $2.21 per share.   Our interest rate sensitive price target is $31-$32, a potential increase of 23%.  Combined with a 5.6% yield, the total return of 43% is possible.  We think our 2000 and 2001 EPS estimates could be at least $0.05 per share to low, especially after seeing the strength of the third quarter.</w:t>
      </w:r>
    </w:p>
    <w:p>
      <w:pPr>
        <w:pStyle w:val="Head2"/>
        <w:rPr/>
      </w:pPr>
      <w:r>
        <w:rPr/>
        <w:t>New Economy Themes</w:t>
      </w:r>
    </w:p>
    <w:p>
      <w:pPr>
        <w:pStyle w:val="Text"/>
        <w:rPr/>
      </w:pPr>
      <w:r>
        <w:rPr/>
        <w:t>Southern Company has been aggressive in using its knowledge base (and those of joint venture partners) to derive value from its existing and newly acquired asset base.  In addition Southern has added a lot of intellectual capital over the last few years to add to an already deep pool of talent.  Through its acquisition of power plants around the world, power marketing in the United States and the creation of a virtual gas company Southern is transforming itself into a New Economy Electric. Southern can fall into at least two of the knowledge-based value models we see driving the sector.</w:t>
      </w:r>
    </w:p>
    <w:p>
      <w:pPr>
        <w:pStyle w:val="Text"/>
        <w:rPr/>
      </w:pPr>
      <w:r>
        <w:rPr>
          <w:b/>
        </w:rPr>
        <w:t>Power Plant Development/Acquisitions</w:t>
      </w:r>
      <w:r>
        <w:rPr/>
        <w:t xml:space="preserve"> .  Southern uses its knowledge and skill base to acquire and operate other utilities’ power plants.  In addition Southern is a developer of new Greenfield projects. </w:t>
      </w:r>
      <w:r>
        <w:rPr>
          <w:color w:val="000000"/>
        </w:rPr>
        <w:t>Management’s rational?  Running and building power plants is one of its core competencies, and the assets although not cheap, will contribute to building regional networks that can be exploited by Southern’s trading and marketing division SCEM.</w:t>
      </w:r>
    </w:p>
    <w:p>
      <w:pPr>
        <w:pStyle w:val="Text"/>
        <w:rPr/>
      </w:pPr>
      <w:r>
        <w:rPr/>
        <w:t>By exploiting its superior development and operational knowledge base, Southern has been able to buy and build plants that are increasing returns and contributing to building a regional trading/marketing network.  Simply put, by collectively operating and marketing the output of these plants on a system wide basis, Southern should be able to extract additional economies of scale and value from their assets.  Consequently, the value that Southern should be able to generate from these plants should substantially exceeded that realized by the plants’ previous owners.</w:t>
      </w:r>
    </w:p>
    <w:p>
      <w:pPr>
        <w:sectPr>
          <w:headerReference w:type="default" r:id="rId54"/>
          <w:headerReference w:type="first" r:id="rId55"/>
          <w:footerReference w:type="default" r:id="rId56"/>
          <w:footerReference w:type="first" r:id="rId57"/>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Text"/>
        <w:rPr/>
      </w:pPr>
      <w:r>
        <w:rPr>
          <w:b/>
        </w:rPr>
        <w:t xml:space="preserve">The Virtual Gas and Electric Company  </w:t>
      </w:r>
      <w:r>
        <w:rPr/>
        <w:t xml:space="preserve">Instead of buying a gas company, Southern has created a virtual gas company through several joint ventures and contracts.  As seen in exhibit 14 below Southern through several agreements has obtained access to significant natural gas storage, capacity and production to help support their power generation assets as well as their trading and marketing operations.  Both their gas production, which accounts for close to 3% of the total production in the U.S., and their storage, which accounts for over 1% of available storage are significant.  The up front investments are relatively low, the 1returns on invested capital are in excess of 10% while earnings are not diluted by a major acquisition.  We would expect Southern to continue to grow their virtual gas company instead of making a major acquisition of a large LDC or pipes company.  </w:t>
      </w:r>
    </w:p>
    <w:p>
      <w:pPr>
        <w:pStyle w:val="Text"/>
        <w:rPr/>
      </w:pPr>
      <w:r>
        <w:rPr/>
      </w:r>
    </w:p>
    <w:p>
      <w:pPr>
        <w:pStyle w:val="CameraReadyTableTitle"/>
        <w:rPr/>
      </w:pPr>
      <w:r>
        <w:rPr/>
        <w:t>Exhibit 14</w:t>
        <w:br/>
        <w:t>SCEM Virtual Gas and Electric Assets</w:t>
      </w:r>
    </w:p>
    <w:p>
      <w:pPr>
        <w:pStyle w:val="Picture"/>
        <w:rPr/>
      </w:pPr>
      <w:r>
        <w:rPr/>
      </w:r>
    </w:p>
    <w:p>
      <w:pPr>
        <w:pStyle w:val="Text"/>
        <w:rPr/>
      </w:pPr>
      <w:r>
        <w:rPr/>
        <w:drawing>
          <wp:inline distT="0" distB="0" distL="0" distR="0">
            <wp:extent cx="4428490" cy="2038985"/>
            <wp:effectExtent l="0" t="0" r="0" b="0"/>
            <wp:docPr id="32"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2" descr="" title=""/>
                    <pic:cNvPicPr>
                      <a:picLocks noChangeAspect="1" noChangeArrowheads="1"/>
                    </pic:cNvPicPr>
                  </pic:nvPicPr>
                  <pic:blipFill>
                    <a:blip r:embed="rId58"/>
                    <a:srcRect l="-8" t="-12" r="-8" b="31747"/>
                    <a:stretch>
                      <a:fillRect/>
                    </a:stretch>
                  </pic:blipFill>
                  <pic:spPr bwMode="auto">
                    <a:xfrm>
                      <a:off x="0" y="0"/>
                      <a:ext cx="4428490" cy="2038985"/>
                    </a:xfrm>
                    <a:prstGeom prst="rect">
                      <a:avLst/>
                    </a:prstGeom>
                    <a:noFill/>
                  </pic:spPr>
                </pic:pic>
              </a:graphicData>
            </a:graphic>
          </wp:inline>
        </w:drawing>
      </w:r>
    </w:p>
    <w:p>
      <w:pPr>
        <w:pStyle w:val="Text"/>
        <w:rPr>
          <w:sz w:val="16"/>
        </w:rPr>
      </w:pPr>
      <w:r>
        <w:rPr>
          <w:sz w:val="16"/>
        </w:rPr>
        <w:t>Source: Company reports</w:t>
      </w:r>
    </w:p>
    <w:p>
      <w:pPr>
        <w:pStyle w:val="Text"/>
        <w:rPr/>
      </w:pPr>
      <w:r>
        <w:rPr/>
        <w:t xml:space="preserve">On the electric side Southern is also creating a small virtual electric company through power generation management. Power generation management is the integration of standard utility functions with non-regulated energy, trading, marketing and scheduling functions.  Specifically Southern will do load forecasting, Dispatch/bidding, daily/forward trading, scheduling, fuel supply and direct sales marketing.  However, unlike the virtual gas company, Southern has and should continue making asset acquisitions of generation as well.  Southern already has acquired over 1700 MW’s of capacity that can be leveraged through SCEM.  Over the next five years Southern hopes to build that portfolio substantially outside the Southeast.  Southern receives attractive returns for the power generation management and increases those returns by allowing SCEM to manage the capacity.  Basically Southern through SCEM, can use the capacity to sell to the plant owners and into the wholesale markets.  SCEM can use the capacity to create various types of product and services around the capacity. Southern’s advantage in this arena is driven by several themes relating to the new economy: </w:t>
      </w:r>
    </w:p>
    <w:p>
      <w:pPr>
        <w:pStyle w:val="Text"/>
        <w:numPr>
          <w:ilvl w:val="0"/>
          <w:numId w:val="15"/>
        </w:numPr>
        <w:rPr/>
      </w:pPr>
      <w:r>
        <w:rPr/>
        <w:t>SCEM allows them to earn higher returns on the assets than most of their competitors;</w:t>
      </w:r>
    </w:p>
    <w:p>
      <w:pPr>
        <w:pStyle w:val="Text"/>
        <w:numPr>
          <w:ilvl w:val="0"/>
          <w:numId w:val="15"/>
        </w:numPr>
        <w:rPr/>
      </w:pPr>
      <w:r>
        <w:rPr/>
        <w:t>A superior knowledge base of the power markets and energy management make them the preferred manager;</w:t>
      </w:r>
    </w:p>
    <w:p>
      <w:pPr>
        <w:pStyle w:val="Text"/>
        <w:numPr>
          <w:ilvl w:val="0"/>
          <w:numId w:val="15"/>
        </w:numPr>
        <w:rPr/>
      </w:pPr>
      <w:r>
        <w:rPr/>
        <w:t xml:space="preserve">SO’s enormous size gives them an advantage in several areas including access to capital and lowering costs through economy of scale. </w:t>
      </w:r>
    </w:p>
    <w:p>
      <w:pPr>
        <w:pStyle w:val="Text"/>
        <w:rPr/>
      </w:pPr>
      <w:r>
        <w:rPr>
          <w:rStyle w:val="Head4"/>
        </w:rPr>
        <w:t>Trading and Marketing</w:t>
      </w:r>
      <w:r>
        <w:rPr>
          <w:color w:val="FFFFFF"/>
        </w:rPr>
        <w:t>—</w:t>
      </w:r>
      <w:r>
        <w:rPr/>
        <w:t>The strategy on the trading and marketing side has several facets that also fits into our Value Model 1 the power broker.  Southern will seek to extract new income sources from existing assets, with minimal incremental investment. Southern is developing a trading and marketing operation to exploit their proprietary knowledge of the wholesale generation markets gained from the broad geographic reach of their physical assets for both electricity and fuel. Southern is in the midst of creating a dynamic organizational structure to take advantage of market opportunities while maintaining solid risk management controls.  Their stated strategy on the trading side is to establish a significant presence in the physical and financial marketplace, actively pursuing a market maker trading role to ensure efficient pricing and hedging capabilities.  On the marketing side Southern will develop and market an array of innovative/sophisticated value added energy and energy linked products and services that meet consumers and suppliers needs.  To pull this all together Southern has been actively increasing their intellectual knowledge base by developing a world class employee talent pool as well as making major investments in systems, controls and processes to provide superior returns on their investments.  Although costly to build this network, once built the earnings and ROIC should increase significantly</w:t>
      </w:r>
    </w:p>
    <w:p>
      <w:pPr>
        <w:pStyle w:val="Text"/>
        <w:rPr/>
      </w:pPr>
      <w:r>
        <w:rPr/>
      </w:r>
    </w:p>
    <w:p>
      <w:pPr>
        <w:pStyle w:val="Head2"/>
        <w:rPr/>
      </w:pPr>
      <w:r>
        <w:rPr/>
        <w:t>Valuation Metrics</w:t>
      </w:r>
    </w:p>
    <w:p>
      <w:pPr>
        <w:pStyle w:val="Head3"/>
        <w:rPr/>
      </w:pPr>
      <w:r>
        <w:rPr/>
        <w:t>Value Based Analysis</w:t>
      </w:r>
    </w:p>
    <w:p>
      <w:pPr>
        <w:pStyle w:val="Text"/>
        <w:rPr/>
      </w:pPr>
      <w:r>
        <w:rPr>
          <w:color w:val="000000"/>
        </w:rPr>
        <w:t xml:space="preserve">Over the next 2-5 years, we expect that the impact of both of these strategies will be an increase in Southern’s overall invested capital turnover.  The incremental revenue growth driven by trading and marketing and the capital efficient manner with which it has set up its virtual gas and electric operations is supported by comparatively modest capital investment requirements. </w:t>
      </w:r>
      <w:r>
        <w:rPr/>
        <w:t>In addition, we believe that Southern has the size and scale in combination with the extensive power marketing experience to remain one of the best positioned companies in the deregulating power generation market.</w:t>
      </w:r>
    </w:p>
    <w:p>
      <w:pPr>
        <w:pStyle w:val="Text"/>
        <w:rPr/>
      </w:pPr>
      <w:r>
        <w:rPr>
          <w:rStyle w:val="Head4"/>
        </w:rPr>
        <w:t>ROIC</w:t>
      </w:r>
      <w:r>
        <w:rPr>
          <w:color w:val="FFFFFF"/>
        </w:rPr>
        <w:t>—</w:t>
      </w:r>
      <w:r>
        <w:rPr>
          <w:color w:val="000000"/>
        </w:rPr>
        <w:t xml:space="preserve">We forecast that the company’s ROIC should grow from 6.1% in 1999 to 7.6% in 2002.  </w:t>
      </w:r>
    </w:p>
    <w:p>
      <w:pPr>
        <w:pStyle w:val="Text"/>
        <w:rPr/>
      </w:pPr>
      <w:r>
        <w:rPr>
          <w:rStyle w:val="Head4"/>
        </w:rPr>
        <w:t>NOPAT Margins</w:t>
      </w:r>
      <w:r>
        <w:rPr>
          <w:color w:val="FFFFFF"/>
          <w:sz w:val="28"/>
        </w:rPr>
        <w:t>—</w:t>
      </w:r>
      <w:r>
        <w:rPr>
          <w:color w:val="000000"/>
        </w:rPr>
        <w:t>In 1998, Southern’s NOPAT margins were 16.2%, an increase of almost 20% over the prior year.  We forecast NOPAT margins increasing to approximately 18% over time.  This increase reflects the continued expansion of Southern’s international and domestic power projects, offset to a degree by increasing trading and marketing volumes.</w:t>
      </w:r>
    </w:p>
    <w:p>
      <w:pPr>
        <w:pStyle w:val="Text"/>
        <w:rPr/>
      </w:pPr>
      <w:r>
        <w:rPr>
          <w:rStyle w:val="Head4"/>
        </w:rPr>
        <w:t>Invested Capital Turnover</w:t>
      </w:r>
      <w:r>
        <w:rPr>
          <w:color w:val="FFFFFF"/>
        </w:rPr>
        <w:t>—</w:t>
      </w:r>
      <w:r>
        <w:rPr>
          <w:color w:val="000000"/>
        </w:rPr>
        <w:t>Southerns’s invested capital turns have remained relatively constant at 0.34 from 1994 through 1998. As the current knowledge-based strategies develop, we anticipate that by 2002, invested capital turns will increase to 0.43.</w:t>
      </w:r>
    </w:p>
    <w:p>
      <w:pPr>
        <w:pStyle w:val="Text"/>
        <w:rPr/>
      </w:pPr>
      <w:r>
        <w:rPr>
          <w:rStyle w:val="Head4"/>
        </w:rPr>
        <w:t>Sales</w:t>
      </w:r>
      <w:r>
        <w:rPr>
          <w:color w:val="FFFFFF"/>
        </w:rPr>
        <w:t>—</w:t>
      </w:r>
      <w:r>
        <w:rPr>
          <w:color w:val="000000"/>
        </w:rPr>
        <w:t xml:space="preserve">Sales have increased at a compound annual growth rate of 8.3% over the last five years.  We forecast an average sales growth rate of approximately 10% through 2002.  </w:t>
      </w:r>
    </w:p>
    <w:p>
      <w:pPr>
        <w:pStyle w:val="Head3"/>
        <w:rPr/>
      </w:pPr>
      <w:r>
        <w:rPr/>
        <w:t>Traditional Metrics</w:t>
      </w:r>
    </w:p>
    <w:p>
      <w:pPr>
        <w:pStyle w:val="Text"/>
        <w:rPr/>
      </w:pPr>
      <w:r>
        <w:rPr/>
        <w:t xml:space="preserve">Southern’s stock is currently trading with a P/E ratio of 12.6x and 11.7x our 1999 and 2000 EPS estimates, respectively; compared to our new economy universe averages of 12.9x and 11.6x for the same earnings periods.  The company's dividend yield is 5.6% compared with our universe average of 4.9%.  We feel that the dividend is comparatively safe with the company having a payout ratio of around 76% in 1998.  Our interest rate sensitive 12-18 month price target is $31-$32.  At this price Southern would trade at 15.4x our 2000 estimate.  We believe this multiple is a reasonable one for a company of this quality, risk and earnings potential. </w:t>
      </w:r>
    </w:p>
    <w:p>
      <w:pPr>
        <w:pStyle w:val="CameraReadyTableTitle"/>
        <w:rPr/>
      </w:pPr>
      <w:r>
        <w:rPr/>
      </w:r>
    </w:p>
    <w:p>
      <w:pPr>
        <w:sectPr>
          <w:headerReference w:type="default" r:id="rId59"/>
          <w:headerReference w:type="first" r:id="rId60"/>
          <w:footerReference w:type="default" r:id="rId61"/>
          <w:footerReference w:type="first" r:id="rId62"/>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CameraReadyTableTitle"/>
        <w:rPr/>
      </w:pPr>
      <w:r>
        <w:rPr/>
      </w:r>
    </w:p>
    <w:p>
      <w:pPr>
        <w:pStyle w:val="CameraReadyTableTitle"/>
        <w:rPr/>
      </w:pPr>
      <w:r>
        <w:rPr/>
      </w:r>
    </w:p>
    <w:p>
      <w:pPr>
        <w:pStyle w:val="CameraReadyTableTitle"/>
        <w:rPr/>
      </w:pPr>
      <w:r>
        <w:rPr/>
        <w:t>Exhibit 15</w:t>
        <w:br/>
        <w:t>Southern Company ROIC vs WACC</w:t>
      </w:r>
    </w:p>
    <w:p>
      <w:pPr>
        <w:pStyle w:val="CameraReadyTableSubtitle"/>
        <w:rPr/>
      </w:pPr>
      <w:r>
        <w:rPr/>
        <w:t>1994-2003E</w:t>
      </w:r>
    </w:p>
    <w:p>
      <w:pPr>
        <w:pStyle w:val="Picture"/>
        <w:rPr/>
      </w:pPr>
      <w:r>
        <w:rPr/>
        <w:drawing>
          <wp:inline distT="0" distB="0" distL="0" distR="0">
            <wp:extent cx="4589145" cy="1877695"/>
            <wp:effectExtent l="0" t="0" r="0" b="0"/>
            <wp:docPr id="34"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3" descr="" title=""/>
                    <pic:cNvPicPr>
                      <a:picLocks noChangeAspect="1" noChangeArrowheads="1"/>
                    </pic:cNvPicPr>
                  </pic:nvPicPr>
                  <pic:blipFill>
                    <a:blip r:embed="rId63"/>
                    <a:srcRect l="-7" t="-17" r="-7" b="-17"/>
                    <a:stretch>
                      <a:fillRect/>
                    </a:stretch>
                  </pic:blipFill>
                  <pic:spPr bwMode="auto">
                    <a:xfrm>
                      <a:off x="0" y="0"/>
                      <a:ext cx="4589145" cy="1877695"/>
                    </a:xfrm>
                    <a:prstGeom prst="rect">
                      <a:avLst/>
                    </a:prstGeom>
                    <a:noFill/>
                  </pic:spPr>
                </pic:pic>
              </a:graphicData>
            </a:graphic>
          </wp:inline>
        </w:drawing>
      </w:r>
    </w:p>
    <w:p>
      <w:pPr>
        <w:pStyle w:val="CameraReadyTableTitle"/>
        <w:rPr/>
      </w:pPr>
      <w:r>
        <w:rPr/>
      </w:r>
    </w:p>
    <w:p>
      <w:pPr>
        <w:pStyle w:val="CameraReadyTableTitle"/>
        <w:rPr/>
      </w:pPr>
      <w:r>
        <w:rPr/>
        <w:t>Exhibit 16</w:t>
        <w:br/>
        <w:t>Southern Company Economic Profit Trends</w:t>
      </w:r>
    </w:p>
    <w:p>
      <w:pPr>
        <w:pStyle w:val="CameraReadyTableSubtitle"/>
        <w:rPr/>
      </w:pPr>
      <w:r>
        <w:rPr/>
        <w:t>1994-2003E</w:t>
      </w:r>
    </w:p>
    <w:p>
      <w:pPr>
        <w:pStyle w:val="Picture"/>
        <w:rPr/>
      </w:pPr>
      <w:r>
        <w:rPr/>
        <w:drawing>
          <wp:inline distT="0" distB="0" distL="0" distR="0">
            <wp:extent cx="4587875" cy="2138680"/>
            <wp:effectExtent l="0" t="0" r="0" b="0"/>
            <wp:docPr id="3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4" descr="" title=""/>
                    <pic:cNvPicPr>
                      <a:picLocks noChangeAspect="1" noChangeArrowheads="1"/>
                    </pic:cNvPicPr>
                  </pic:nvPicPr>
                  <pic:blipFill>
                    <a:blip r:embed="rId64"/>
                    <a:srcRect l="-7" t="-15" r="-7" b="-15"/>
                    <a:stretch>
                      <a:fillRect/>
                    </a:stretch>
                  </pic:blipFill>
                  <pic:spPr bwMode="auto">
                    <a:xfrm>
                      <a:off x="0" y="0"/>
                      <a:ext cx="4587875" cy="2138680"/>
                    </a:xfrm>
                    <a:prstGeom prst="rect">
                      <a:avLst/>
                    </a:prstGeom>
                    <a:noFill/>
                  </pic:spPr>
                </pic:pic>
              </a:graphicData>
            </a:graphic>
          </wp:inline>
        </w:drawing>
      </w:r>
    </w:p>
    <w:p>
      <w:pPr>
        <w:pStyle w:val="Text"/>
        <w:rPr/>
      </w:pPr>
      <w:r>
        <w:rPr/>
      </w:r>
    </w:p>
    <w:p>
      <w:pPr>
        <w:pStyle w:val="Text"/>
        <w:rPr/>
      </w:pPr>
      <w:r>
        <w:rPr/>
      </w:r>
    </w:p>
    <w:p>
      <w:pPr>
        <w:pStyle w:val="Normal"/>
        <w:rPr>
          <w:sz w:val="28"/>
        </w:rPr>
      </w:pPr>
      <w:r>
        <w:rPr>
          <w:sz w:val="28"/>
        </w:rPr>
      </w:r>
    </w:p>
    <w:p>
      <w:pPr>
        <w:pStyle w:val="Text"/>
        <w:rPr>
          <w:sz w:val="28"/>
        </w:rPr>
      </w:pPr>
      <w:r>
        <w:rPr>
          <w:sz w:val="28"/>
        </w:rPr>
      </w:r>
    </w:p>
    <w:p>
      <w:pPr>
        <w:pStyle w:val="Head1"/>
        <w:rPr/>
      </w:pPr>
      <w:bookmarkStart w:id="22" w:name="__RefHeading___Toc471702828"/>
      <w:bookmarkEnd w:id="22"/>
      <w:r>
        <w:rPr/>
        <w:t>Edison International</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$31</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t>$2.00</w:t>
            </w:r>
          </w:p>
        </w:tc>
        <w:tc>
          <w:tcPr>
            <w:tcW w:w="1530" w:type="dxa"/>
            <w:tcBorders/>
            <w:shd w:fill="DFDFDF" w:val="clear"/>
          </w:tcPr>
          <w:p>
            <w:pPr>
              <w:pStyle w:val="Text"/>
              <w:spacing w:before="0" w:after="120"/>
              <w:jc w:val="center"/>
              <w:rPr/>
            </w:pPr>
            <w:r>
              <w:rPr/>
              <w:t>$2.24</w:t>
            </w:r>
          </w:p>
        </w:tc>
        <w:tc>
          <w:tcPr>
            <w:tcW w:w="1350" w:type="dxa"/>
            <w:tcBorders>
              <w:end w:val="single" w:sz="4" w:space="0" w:color="000000"/>
            </w:tcBorders>
            <w:shd w:fill="DFDFDF" w:val="clear"/>
          </w:tcPr>
          <w:p>
            <w:pPr>
              <w:pStyle w:val="Text"/>
              <w:spacing w:before="0" w:after="120"/>
              <w:jc w:val="center"/>
              <w:rPr/>
            </w:pPr>
            <w:r>
              <w:rPr/>
              <w:t>$2.49</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t>5.9%</w:t>
            </w:r>
          </w:p>
        </w:tc>
        <w:tc>
          <w:tcPr>
            <w:tcW w:w="1530" w:type="dxa"/>
            <w:tcBorders>
              <w:bottom w:val="single" w:sz="4" w:space="0" w:color="000000"/>
            </w:tcBorders>
            <w:shd w:fill="DFDFDF" w:val="clear"/>
          </w:tcPr>
          <w:p>
            <w:pPr>
              <w:pStyle w:val="Text"/>
              <w:spacing w:before="0" w:after="120"/>
              <w:jc w:val="center"/>
              <w:rPr/>
            </w:pPr>
            <w:r>
              <w:rPr/>
              <w:t>6.7%</w:t>
            </w:r>
          </w:p>
        </w:tc>
        <w:tc>
          <w:tcPr>
            <w:tcW w:w="1350" w:type="dxa"/>
            <w:tcBorders>
              <w:bottom w:val="single" w:sz="4" w:space="0" w:color="000000"/>
              <w:end w:val="single" w:sz="4" w:space="0" w:color="000000"/>
            </w:tcBorders>
            <w:shd w:fill="DFDFDF" w:val="clear"/>
          </w:tcPr>
          <w:p>
            <w:pPr>
              <w:pStyle w:val="Text"/>
              <w:spacing w:before="0" w:after="120"/>
              <w:jc w:val="center"/>
              <w:rPr/>
            </w:pPr>
            <w:r>
              <w:rPr/>
              <w:t>7.7%</w:t>
            </w:r>
          </w:p>
        </w:tc>
      </w:tr>
    </w:tbl>
    <w:p>
      <w:pPr>
        <w:pStyle w:val="Text"/>
        <w:rPr/>
      </w:pPr>
      <w:r>
        <w:rPr/>
      </w:r>
    </w:p>
    <w:p>
      <w:pPr>
        <w:pStyle w:val="Text"/>
        <w:rPr/>
      </w:pPr>
      <w:r>
        <w:rPr/>
        <w:t>We are reiterating our Buy rating on Edison International.  We continue to believe EIX has one of the strongest management teams in the industry, with a consistent track record of consistent growth from prudent, high-performing investments in its non-regulated business.</w:t>
      </w:r>
    </w:p>
    <w:p>
      <w:pPr>
        <w:pStyle w:val="Text"/>
        <w:rPr>
          <w:lang w:eastAsia="en-US"/>
        </w:rPr>
      </w:pPr>
      <w:r>
        <w:rPr>
          <w:lang w:eastAsia="en-US"/>
        </w:rPr>
        <w:t>We continue to see a very positive environment for EIX, including strong forward wholesale prices as well as a constructive regulatory environment with a PBR mechanism in place through the end of 2001. Edison is one the fastest growing New Economy Electrics we estimate EPS to grow at close to 11% through 2002.</w:t>
      </w:r>
    </w:p>
    <w:p>
      <w:pPr>
        <w:pStyle w:val="Head2"/>
        <w:rPr/>
      </w:pPr>
      <w:r>
        <w:rPr/>
        <w:t>New Economy Themes</w:t>
      </w:r>
    </w:p>
    <w:p>
      <w:pPr>
        <w:pStyle w:val="Text"/>
        <w:rPr/>
      </w:pPr>
      <w:r>
        <w:rPr>
          <w:rStyle w:val="Head4"/>
        </w:rPr>
        <w:t>Innovative Regulatory Environment</w:t>
      </w:r>
      <w:r>
        <w:rPr/>
        <w:t xml:space="preserve"> EIX has been one of the companies that has used its knowledge base to effectively leverage off its existing utility assets. The utility has been able earn more than its cost of capital through an innovative PBR mechanism which allows it to earn above its allowed ROE of 11.6% while meeting certain performance standards.  In addition the company has reached a regulatory agreement that should allow the company to exploit its extensive fiber optic network in Southern California.</w:t>
      </w:r>
    </w:p>
    <w:p>
      <w:pPr>
        <w:pStyle w:val="Text"/>
        <w:rPr/>
      </w:pPr>
      <w:r>
        <w:rPr>
          <w:rStyle w:val="Head4"/>
        </w:rPr>
        <w:t>Generation Strategy</w:t>
      </w:r>
      <w:r>
        <w:rPr>
          <w:color w:val="FFFFFF"/>
        </w:rPr>
        <w:t xml:space="preserve">  </w:t>
      </w:r>
      <w:r>
        <w:rPr/>
        <w:t>Since 1986 EIX as used its knowledge and skill base at its independent power (IPP) subsidiary Edison Mission Energy (EME) to develop, acquire and operate more than 75 power projects throughout the world.   Over the years EME has demonstrated the ability to effectively compete for and develop power projects with a combination of superior financial, developmental and operating skill that has made it one of the premier IPPs in the world.  EIX net ownership in projects either operating or under development has grown from 2,637 MW in 1994 to 22,770 MW at the end of 1999.  The company has had a compound earnings growth rate of 24.5% in the same time frame, while maintaining an A- Standard &amp; Poor’s credit rating which should allow for substantial financial flexibility going forward.</w:t>
        <w:br/>
      </w:r>
    </w:p>
    <w:p>
      <w:pPr>
        <w:pStyle w:val="Text"/>
        <w:rPr/>
      </w:pPr>
      <w:r>
        <w:rPr>
          <w:rStyle w:val="Head4"/>
        </w:rPr>
        <w:t>Telecommunications Strategy</w:t>
      </w:r>
      <w:r>
        <w:rPr>
          <w:color w:val="FFFFFF"/>
        </w:rPr>
        <w:t>—</w:t>
      </w:r>
      <w:r>
        <w:rPr/>
        <w:t>EIX is also in the process of more effectively exploiting its utility owned fiber optic assets.  Recently the utility (Southern California Edison) reached an agreement with the California Public Utility Commission (CPUC) which allows it to more effectively utilize its 5,000 miles of fiber (making EIX the third largest player in the Southern California market).  Under this agreement the company shares 10% of its fiber revenues with ratepayers while keeping 90% for shareholders.  With this extensive fiber optic network in Southern California  EIX is well positioned to extract a considerable level of value over the next several years from these assets. However, the company is just beginning to capitalize on these assets and probably will not show any meaningful revenues until 2002.</w:t>
      </w:r>
    </w:p>
    <w:p>
      <w:pPr>
        <w:pStyle w:val="Head2"/>
        <w:rPr/>
      </w:pPr>
      <w:r>
        <w:rPr/>
        <w:t>Valuation Metrics</w:t>
      </w:r>
    </w:p>
    <w:p>
      <w:pPr>
        <w:pStyle w:val="Head3"/>
        <w:rPr/>
      </w:pPr>
      <w:r>
        <w:rPr/>
        <w:t>Value Based Analysis</w:t>
      </w:r>
    </w:p>
    <w:p>
      <w:pPr>
        <w:pStyle w:val="Text"/>
        <w:rPr>
          <w:color w:val="000000"/>
        </w:rPr>
      </w:pPr>
      <w:r>
        <w:rPr>
          <w:color w:val="000000"/>
        </w:rPr>
        <w:t>Over the next 2-5 years, we expect that the impact of both of these strategies will be a substantial increase in EIX’s overall invested capital turnover.  The incremental revenue growth driven by both the IPP and utility growth is supported by comparatively modest capital investment requirements.</w:t>
      </w:r>
    </w:p>
    <w:p>
      <w:pPr>
        <w:pStyle w:val="Text"/>
        <w:rPr/>
      </w:pPr>
      <w:r>
        <w:rPr>
          <w:rStyle w:val="Head4"/>
        </w:rPr>
        <w:t>ROIC</w:t>
      </w:r>
      <w:r>
        <w:rPr>
          <w:color w:val="FFFFFF"/>
        </w:rPr>
        <w:t>—</w:t>
      </w:r>
      <w:r>
        <w:rPr/>
        <w:t xml:space="preserve"> As a result of these recent capital expenditures, our analysis forecasts a ROIC-WACC spread of only 0.6% in 1999.  However, as the contract restraints on these assets are eliminated, EME will begin to be able to earn a much higher return on these investments.  We are forecasting that the ROIC-WACC spread strengthens to 1.8% in 2002.  In particular, w</w:t>
      </w:r>
      <w:r>
        <w:rPr>
          <w:color w:val="000000"/>
        </w:rPr>
        <w:t xml:space="preserve">e forecast that the company’s ROIC should grow from 5.9% in 1998 to 7.7% in 2002.  </w:t>
      </w:r>
    </w:p>
    <w:p>
      <w:pPr>
        <w:pStyle w:val="Text"/>
        <w:rPr/>
      </w:pPr>
      <w:r>
        <w:rPr>
          <w:rStyle w:val="Head4"/>
        </w:rPr>
        <w:t>NOPAT Margins</w:t>
      </w:r>
      <w:r>
        <w:rPr>
          <w:color w:val="FFFFFF"/>
        </w:rPr>
        <w:t>—</w:t>
      </w:r>
      <w:r>
        <w:rPr>
          <w:color w:val="000000"/>
        </w:rPr>
        <w:t xml:space="preserve">In 1999, we forecast NOPAT margins of 15.5%, increasing to approximately 17.4% by 2001 remaining relatively stable at this level.  This increase is driven by a number of factors, including increasing operating efficiencies at Southern California Edison, which the utility is able to retain under its current regulatory settlement, and continued strong performance from the company’s generation projects. </w:t>
      </w:r>
    </w:p>
    <w:p>
      <w:pPr>
        <w:pStyle w:val="Text"/>
        <w:rPr/>
      </w:pPr>
      <w:r>
        <w:rPr>
          <w:rStyle w:val="Head4"/>
        </w:rPr>
        <w:t>Invested Capital Turnover</w:t>
      </w:r>
      <w:r>
        <w:rPr>
          <w:color w:val="FFFFFF"/>
        </w:rPr>
        <w:t>—</w:t>
      </w:r>
      <w:r>
        <w:rPr>
          <w:color w:val="000000"/>
        </w:rPr>
        <w:t xml:space="preserve">EIX’s invested capital turns have increased almost 20% over the last five years, from 0.43 in 1994 to 0.52 in 1998.  We believe demonstrates the company’s early focus on expanding its revenue streams from existing assets.  The substantial investments that EIX made in 1999 to grow its generation portfolio lower the company’s invested capital turnover profile to approximately 0.38 in 1999, which then increase to 0.44 by 2002.  However, as we noted earlier, while the company’s invested capital base did accelerate, as we would anticipate from a company that is focusing heavily on the super-generator model, the increasing NOPAT from these investments more than offsets the impact, and still demonstrates a positive return profile. </w:t>
      </w:r>
    </w:p>
    <w:p>
      <w:pPr>
        <w:pStyle w:val="Text"/>
        <w:rPr/>
      </w:pPr>
      <w:r>
        <w:rPr>
          <w:rStyle w:val="Head4"/>
        </w:rPr>
        <w:t>Sales</w:t>
      </w:r>
      <w:r>
        <w:rPr>
          <w:color w:val="FFFFFF"/>
        </w:rPr>
        <w:t>—</w:t>
      </w:r>
      <w:r>
        <w:rPr>
          <w:color w:val="000000"/>
        </w:rPr>
        <w:t xml:space="preserve">Sales have increased at a compound annual growth rate of 5% over the last five years.  Over the last three years, however, sales have grown at a CAGR of almost 7%.  We forecast an average sales growth rate of approximately 5% through 2002.  </w:t>
      </w:r>
    </w:p>
    <w:p>
      <w:pPr>
        <w:pStyle w:val="Head3"/>
        <w:rPr/>
      </w:pPr>
      <w:r>
        <w:rPr/>
        <w:t>Traditional Metrics</w:t>
      </w:r>
    </w:p>
    <w:p>
      <w:pPr>
        <w:pStyle w:val="Text"/>
        <w:rPr/>
      </w:pPr>
      <w:r>
        <w:rPr/>
        <w:t xml:space="preserve">The shares of EIX are undervalued.  EIX currently trades at a 13.5x times and  12.0x times to our 1999 and 2000 EPS estimates, with a yield of 4.0%, compared with our new economy universe averages of 12.9x, 11.6x and 4.9%, respectively. </w:t>
      </w:r>
    </w:p>
    <w:p>
      <w:pPr>
        <w:pStyle w:val="Text"/>
        <w:rPr/>
      </w:pPr>
      <w:r>
        <w:rPr/>
        <w:t>In a flat interest rate environment, our 12-18 month price target is $31, derived from our discounted earnings valuation approach.  At this price EIX would trade at 13.8 times our 2001 EPS estimate.</w:t>
      </w:r>
    </w:p>
    <w:p>
      <w:pPr>
        <w:pStyle w:val="Text"/>
        <w:rPr/>
      </w:pPr>
      <w:r>
        <w:rPr/>
      </w:r>
    </w:p>
    <w:p>
      <w:pPr>
        <w:sectPr>
          <w:headerReference w:type="default" r:id="rId65"/>
          <w:headerReference w:type="first" r:id="rId66"/>
          <w:footerReference w:type="default" r:id="rId67"/>
          <w:footerReference w:type="first" r:id="rId68"/>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CameraReadyTableTitle"/>
        <w:rPr/>
      </w:pPr>
      <w:r>
        <w:rPr/>
      </w:r>
    </w:p>
    <w:p>
      <w:pPr>
        <w:pStyle w:val="CameraReadyTableTitle"/>
        <w:rPr/>
      </w:pPr>
      <w:r>
        <w:rPr/>
        <w:t>Exhibit 17</w:t>
        <w:br/>
        <w:t>Edison International ROIC vs WACC</w:t>
      </w:r>
    </w:p>
    <w:p>
      <w:pPr>
        <w:pStyle w:val="CameraReadyTableSubtitle"/>
        <w:rPr/>
      </w:pPr>
      <w:r>
        <w:rPr/>
        <w:t>1994-2005E</w:t>
      </w:r>
    </w:p>
    <w:p>
      <w:pPr>
        <w:pStyle w:val="Picture"/>
        <w:rPr/>
      </w:pPr>
      <w:r>
        <w:rPr/>
        <w:drawing>
          <wp:inline distT="0" distB="0" distL="0" distR="0">
            <wp:extent cx="4589145" cy="1877695"/>
            <wp:effectExtent l="0" t="0" r="0" b="0"/>
            <wp:docPr id="37"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 descr="" title=""/>
                    <pic:cNvPicPr>
                      <a:picLocks noChangeAspect="1" noChangeArrowheads="1"/>
                    </pic:cNvPicPr>
                  </pic:nvPicPr>
                  <pic:blipFill>
                    <a:blip r:embed="rId69"/>
                    <a:srcRect l="-7" t="-17" r="-7" b="-17"/>
                    <a:stretch>
                      <a:fillRect/>
                    </a:stretch>
                  </pic:blipFill>
                  <pic:spPr bwMode="auto">
                    <a:xfrm>
                      <a:off x="0" y="0"/>
                      <a:ext cx="4589145" cy="1877695"/>
                    </a:xfrm>
                    <a:prstGeom prst="rect">
                      <a:avLst/>
                    </a:prstGeom>
                    <a:noFill/>
                  </pic:spPr>
                </pic:pic>
              </a:graphicData>
            </a:graphic>
          </wp:inline>
        </w:drawing>
      </w:r>
    </w:p>
    <w:p>
      <w:pPr>
        <w:pStyle w:val="Picture"/>
        <w:rPr/>
      </w:pPr>
      <w:r>
        <w:rPr/>
      </w:r>
    </w:p>
    <w:p>
      <w:pPr>
        <w:pStyle w:val="CameraReadyTableTitle"/>
        <w:rPr/>
      </w:pPr>
      <w:r>
        <w:rPr/>
        <w:t>Exhibit 18</w:t>
        <w:br/>
        <w:t>Edison International Economic Profit Trend</w:t>
      </w:r>
    </w:p>
    <w:p>
      <w:pPr>
        <w:pStyle w:val="CameraReadyTableSubtitle"/>
        <w:rPr/>
      </w:pPr>
      <w:r>
        <w:rPr/>
        <w:t>1994-2005E</w:t>
      </w:r>
    </w:p>
    <w:p>
      <w:pPr>
        <w:pStyle w:val="Picture"/>
        <w:rPr/>
      </w:pPr>
      <w:r>
        <w:rPr/>
        <w:drawing>
          <wp:inline distT="0" distB="0" distL="0" distR="0">
            <wp:extent cx="4587875" cy="2138680"/>
            <wp:effectExtent l="0" t="0" r="0" b="0"/>
            <wp:docPr id="38"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 descr="" title=""/>
                    <pic:cNvPicPr>
                      <a:picLocks noChangeAspect="1" noChangeArrowheads="1"/>
                    </pic:cNvPicPr>
                  </pic:nvPicPr>
                  <pic:blipFill>
                    <a:blip r:embed="rId70"/>
                    <a:srcRect l="-7" t="-15" r="-7" b="-15"/>
                    <a:stretch>
                      <a:fillRect/>
                    </a:stretch>
                  </pic:blipFill>
                  <pic:spPr bwMode="auto">
                    <a:xfrm>
                      <a:off x="0" y="0"/>
                      <a:ext cx="4587875" cy="2138680"/>
                    </a:xfrm>
                    <a:prstGeom prst="rect">
                      <a:avLst/>
                    </a:prstGeom>
                    <a:noFill/>
                  </pic:spPr>
                </pic:pic>
              </a:graphicData>
            </a:graphic>
          </wp:inline>
        </w:drawing>
      </w:r>
    </w:p>
    <w:p>
      <w:pPr>
        <w:pStyle w:val="Text"/>
        <w:rPr/>
      </w:pPr>
      <w:r>
        <w:rPr/>
      </w:r>
    </w:p>
    <w:p>
      <w:pPr>
        <w:pStyle w:val="Head1"/>
        <w:rPr/>
      </w:pPr>
      <w:bookmarkStart w:id="23" w:name="__RefHeading___Toc471702829"/>
      <w:bookmarkEnd w:id="23"/>
      <w:r>
        <w:rPr/>
        <w:t>Reliant Energy</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Strong 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$31</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rFonts w:eastAsia="Arial"/>
              </w:rPr>
              <w:t xml:space="preserve"> </w:t>
            </w:r>
            <w:r>
              <w:rPr/>
              <w:t>$2.09</w:t>
            </w:r>
          </w:p>
        </w:tc>
        <w:tc>
          <w:tcPr>
            <w:tcW w:w="1530" w:type="dxa"/>
            <w:tcBorders/>
            <w:shd w:fill="DFDFDF" w:val="clear"/>
          </w:tcPr>
          <w:p>
            <w:pPr>
              <w:pStyle w:val="Text"/>
              <w:spacing w:before="0" w:after="120"/>
              <w:jc w:val="center"/>
              <w:rPr/>
            </w:pPr>
            <w:r>
              <w:rPr/>
              <w:t xml:space="preserve">$2.32 </w:t>
            </w:r>
          </w:p>
        </w:tc>
        <w:tc>
          <w:tcPr>
            <w:tcW w:w="1350" w:type="dxa"/>
            <w:tcBorders>
              <w:end w:val="single" w:sz="4" w:space="0" w:color="000000"/>
            </w:tcBorders>
            <w:shd w:fill="DFDFDF" w:val="clear"/>
          </w:tcPr>
          <w:p>
            <w:pPr>
              <w:pStyle w:val="Text"/>
              <w:spacing w:before="0" w:after="120"/>
              <w:jc w:val="center"/>
              <w:rPr/>
            </w:pPr>
            <w:r>
              <w:rPr/>
              <w:t xml:space="preserve">$2.53 </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rFonts w:eastAsia="Arial"/>
              </w:rPr>
              <w:t xml:space="preserve"> </w:t>
            </w:r>
            <w:r>
              <w:rPr/>
              <w:t>6.0%</w:t>
            </w:r>
          </w:p>
        </w:tc>
        <w:tc>
          <w:tcPr>
            <w:tcW w:w="1530" w:type="dxa"/>
            <w:tcBorders>
              <w:bottom w:val="single" w:sz="4" w:space="0" w:color="000000"/>
            </w:tcBorders>
            <w:shd w:fill="DFDFDF" w:val="clear"/>
          </w:tcPr>
          <w:p>
            <w:pPr>
              <w:pStyle w:val="Text"/>
              <w:spacing w:before="0" w:after="120"/>
              <w:jc w:val="center"/>
              <w:rPr/>
            </w:pPr>
            <w:r>
              <w:rPr/>
              <w:t xml:space="preserve">6.6% </w:t>
            </w:r>
          </w:p>
        </w:tc>
        <w:tc>
          <w:tcPr>
            <w:tcW w:w="1350" w:type="dxa"/>
            <w:tcBorders>
              <w:bottom w:val="single" w:sz="4" w:space="0" w:color="000000"/>
              <w:end w:val="single" w:sz="4" w:space="0" w:color="000000"/>
            </w:tcBorders>
            <w:shd w:fill="DFDFDF" w:val="clear"/>
          </w:tcPr>
          <w:p>
            <w:pPr>
              <w:pStyle w:val="Text"/>
              <w:spacing w:before="0" w:after="120"/>
              <w:jc w:val="center"/>
              <w:rPr/>
            </w:pPr>
            <w:r>
              <w:rPr/>
              <w:t xml:space="preserve">7.6% </w:t>
            </w:r>
          </w:p>
        </w:tc>
      </w:tr>
    </w:tbl>
    <w:p>
      <w:pPr>
        <w:pStyle w:val="Text"/>
        <w:rPr/>
      </w:pPr>
      <w:r>
        <w:rPr/>
      </w:r>
    </w:p>
    <w:p>
      <w:pPr>
        <w:pStyle w:val="Text"/>
        <w:rPr/>
      </w:pPr>
      <w:r>
        <w:rPr/>
        <w:t>We are upgrading our recommendation on Reliant Energy to a Strong Buy from a Buy.  We believe that Reliant has begun to implement a number of core changes in both its operational strategy and its organizational structure that support the development of a very strong new economy focus.  Throughout many of its key business segments, the company has identified new business opportunities through which it creates layered services, increases margins, and creates incremental revenue streams from its existing asset base.</w:t>
      </w:r>
    </w:p>
    <w:p>
      <w:pPr>
        <w:pStyle w:val="Text"/>
        <w:rPr/>
      </w:pPr>
      <w:r>
        <w:rPr/>
        <w:t xml:space="preserve">In addition, as we have discussed previously, efficient redeployment of capital has emerged as one of the largest challenges in transitioning to a competitive, knowledge-based environment.  Within this construct, we believe that Reliant has one of the most cohesive growth strategies in the business.  Unlike the extreme pace of asset acquisition that has recently characterized many of its peers, Reliant’s acquisition strategy has been more strategically focused, with major acquisitions providing both shareholder value and strategic positioning in the domestic and international arenas.  This will become increasingly important as Reliant addresses the issue of redeploying the proceeds from its pending securitization of stranded assets.  </w:t>
      </w:r>
    </w:p>
    <w:p>
      <w:pPr>
        <w:pStyle w:val="Text"/>
        <w:rPr/>
      </w:pPr>
      <w:r>
        <w:rPr/>
        <w:t>We are reforecasting our 2000-2001 earnings estimates for Reliant as a result of a more detailed analysis of the positive implications of deregulation legislation in Texas, the impact of the company’s transition off of regulatory accounting, and the acceleration of the UNA acquisition, offset somewhat by tighter margins resulting from the increasingly large role of trading and marketing.  Our new 2000-2001 estimates are $2.32 and $2.53, up from $2.29 and $2.44 for the same periods.  Our 1999 estimate remains unchanged at $2.09 per share.</w:t>
      </w:r>
    </w:p>
    <w:p>
      <w:pPr>
        <w:pStyle w:val="Head2"/>
        <w:rPr/>
      </w:pPr>
      <w:r>
        <w:rPr/>
        <w:t>New Economy Themes</w:t>
      </w:r>
    </w:p>
    <w:p>
      <w:pPr>
        <w:pStyle w:val="Text"/>
        <w:rPr/>
      </w:pPr>
      <w:r>
        <w:rPr>
          <w:rStyle w:val="Head4"/>
        </w:rPr>
        <w:t>Trading and Marketing</w:t>
      </w:r>
      <w:r>
        <w:rPr>
          <w:color w:val="FFFFFF"/>
        </w:rPr>
        <w:t>—</w:t>
      </w:r>
      <w:r>
        <w:rPr>
          <w:color w:val="000000"/>
        </w:rPr>
        <w:t xml:space="preserve">Among the new economy strategies outlined previously in this report, Reliant has the potential to become one of the preeminent Power Marketers in the sector.  Although its Wholesale Energy operations only began in earnest in 1998, this segment is expected to see significant growth, with comparatively modest incremental investment (we note that unlike some of its peers, Reliant reports its asset development efforts combined with the related trading and marketing, which is important to note in any comparison analysis).  We are forecasting continued strong growth; our estimates assume a 63% increase in revenues in 1999, 35% in 2000 and 25% in 2001.  Overall, margins on these activities are comparatively small, however the considerable volume will still be an important earnings driver. </w:t>
      </w:r>
    </w:p>
    <w:p>
      <w:pPr>
        <w:pStyle w:val="Text"/>
        <w:rPr/>
      </w:pPr>
      <w:r>
        <w:rPr>
          <w:color w:val="000000"/>
        </w:rPr>
        <w:t>Importantly, although active in the standard wholesale market, Reliant’s trading and marketing strategy places a great deal of emphasis on the ancillary services market, which have larger margins, lower transaction costs, and offer many value added products to customers.  Other than Duke Energy and Enron, Reliant’s management does not see many other active participants that have developed the range of risk manag</w:t>
      </w:r>
      <w:r>
        <w:rPr/>
        <w:t xml:space="preserve">ement and credit enhancement products that it offers to customers (such as weather derivatives).  Reliant employs a number of key products, for example to absorb a portion of the risk for other companies’ merchant plant development, which require little capital at risk, help customers achieve improved results, and allow Reliant to capture a relatively healthy spread on each structured deal. </w:t>
      </w:r>
    </w:p>
    <w:p>
      <w:pPr>
        <w:pStyle w:val="Text"/>
        <w:rPr/>
      </w:pPr>
      <w:r>
        <w:rPr/>
        <w:t xml:space="preserve">Reliant has also actively pursued new talent to shape its trading organization, and has made attracting new intellectual capital a major focus for the organization.  We believe that the company has built a strong infrastructure and market presence, which should facilitate the growth of its intellectual capital base. </w:t>
      </w:r>
    </w:p>
    <w:p>
      <w:pPr>
        <w:pStyle w:val="Text"/>
        <w:rPr/>
      </w:pPr>
      <w:r>
        <w:rPr/>
        <w:t xml:space="preserve">With the deregulation of the electric markets still in the early stages, Reliant sees the prospects for substantial growth in this segment. Importantly, Reliant is already working to replicate the success of its North American trading and marketing activities in its international operations.  In particular, the acquisition of UNA, based in the Netherlands, established a strong foothold for Reliant’s European growth strategy. While the economics of the UNA acquisition is attractive on a stand-alone basis, adding $0.07 to our earnings forecast in 1999, $0.25 in 2000, and $0.13 in 2001 (the decrease is driven by the termination of power contracts as the region transitions to competition), the strategic value is actually much higher.  The company plans to develop a portfolio level trading strategy around these assets.  Although the markets are in very different stages of development, we believe that much of the intellectual capital is easily transferable. </w:t>
      </w:r>
    </w:p>
    <w:p>
      <w:pPr>
        <w:pStyle w:val="Text"/>
        <w:rPr>
          <w:color w:val="000000"/>
        </w:rPr>
      </w:pPr>
      <w:r>
        <w:rPr>
          <w:color w:val="000000"/>
        </w:rPr>
      </w:r>
    </w:p>
    <w:p>
      <w:pPr>
        <w:pStyle w:val="Text"/>
        <w:rPr/>
      </w:pPr>
      <w:r>
        <w:rPr>
          <w:rStyle w:val="Head4"/>
        </w:rPr>
        <w:t>Telecommunications</w:t>
      </w:r>
      <w:r>
        <w:rPr>
          <w:color w:val="FFFFFF"/>
        </w:rPr>
        <w:t>—</w:t>
      </w:r>
      <w:r>
        <w:rPr>
          <w:color w:val="000000"/>
        </w:rPr>
        <w:t xml:space="preserve"> On a much smaller scale, Reliant is also implementing a number of additional strategies aimed at creating new revenue opportunities from its existing physical and intellectual asset base.  For example, Reliant has rolled out a regional telecommunications business in its incumbent service territory that utilizes its existing infrastructure and workforces to create new opportunities to increase shareholder value. Reliant’s utility, HL&amp;P, has been providing internal telecommunications services associated with its core business for several years and has an extensive fiber optic backbone and related telecommunications infrastructure. This infrastructure includes two Nortel voice switches and a fiber backbone of over 300 route miles throughout metropolitan Houston. Reliant Energy Communications will focus on leveraging this infrastructure and related skill set to capture an evolving market as customers seek Internet replacements for traditional telecommunications services. Initial data services will include private line, Internet access, frame relay, ISDN and DSL. While we do not expect substantial earnings contributions from this segment in the near term, we see a great deal of medium term potential, with little incremental capital and no earnings drag in the interim.</w:t>
      </w:r>
    </w:p>
    <w:p>
      <w:pPr>
        <w:pStyle w:val="Text"/>
        <w:rPr>
          <w:color w:val="000000"/>
        </w:rPr>
      </w:pPr>
      <w:r>
        <w:rPr>
          <w:color w:val="000000"/>
        </w:rPr>
      </w:r>
    </w:p>
    <w:p>
      <w:pPr>
        <w:pStyle w:val="Head2"/>
        <w:rPr/>
      </w:pPr>
      <w:r>
        <w:rPr/>
        <w:t>Valuation Metrics</w:t>
      </w:r>
    </w:p>
    <w:p>
      <w:pPr>
        <w:pStyle w:val="Head3"/>
        <w:rPr/>
      </w:pPr>
      <w:r>
        <w:rPr/>
        <w:t>Value Based Analysis</w:t>
      </w:r>
    </w:p>
    <w:p>
      <w:pPr>
        <w:pStyle w:val="Text"/>
        <w:rPr>
          <w:color w:val="000000"/>
        </w:rPr>
      </w:pPr>
      <w:r>
        <w:rPr>
          <w:color w:val="000000"/>
        </w:rPr>
        <w:t>Over the next 2-5 years, we expect that Reliant will be able to capitalize on the changes that are currently reshaping the industry and become an increasingly dominant player in the power markets.  The changing profile of its operational focus should lead to an overall increase in invested capital turnover.  The incremental revenue growth driven in trading and marketing should continue to be supported by comparatively modest capital investment requirements.</w:t>
      </w:r>
    </w:p>
    <w:p>
      <w:pPr>
        <w:pStyle w:val="Text"/>
        <w:rPr/>
      </w:pPr>
      <w:r>
        <w:rPr>
          <w:rStyle w:val="Head4"/>
        </w:rPr>
        <w:t>ROIC</w:t>
      </w:r>
      <w:r>
        <w:rPr>
          <w:color w:val="FFFFFF"/>
        </w:rPr>
        <w:t>—</w:t>
      </w:r>
      <w:r>
        <w:rPr>
          <w:color w:val="000000"/>
        </w:rPr>
        <w:t xml:space="preserve">We forecast that the company’s ROIC should grow from 6.1% in 1999 to 7.6% in 2002.  </w:t>
      </w:r>
    </w:p>
    <w:p>
      <w:pPr>
        <w:pStyle w:val="Text"/>
        <w:rPr/>
      </w:pPr>
      <w:r>
        <w:rPr>
          <w:rStyle w:val="Head4"/>
        </w:rPr>
        <w:t>NOPAT Margins</w:t>
      </w:r>
      <w:r>
        <w:rPr>
          <w:color w:val="FFFFFF"/>
        </w:rPr>
        <w:t>—</w:t>
      </w:r>
      <w:r>
        <w:rPr>
          <w:color w:val="000000"/>
        </w:rPr>
        <w:t xml:space="preserve">In 1998, Reliant’s NOPAT margins were 9.2%.  We forecast decreasing NOPAT margins over the next 2-5 years, dropping to 7% by 2002, because trading and marketing is expected to comprise an increasingly large piece of Reliant’s overall economics, which is a high volume, low margin business compared with the traditional utility.  </w:t>
      </w:r>
    </w:p>
    <w:p>
      <w:pPr>
        <w:pStyle w:val="Text"/>
        <w:rPr/>
      </w:pPr>
      <w:r>
        <w:rPr>
          <w:rStyle w:val="Head4"/>
        </w:rPr>
        <w:t>Invested Capital Turnover</w:t>
      </w:r>
      <w:r>
        <w:rPr>
          <w:color w:val="FFFFFF"/>
        </w:rPr>
        <w:t>—</w:t>
      </w:r>
      <w:r>
        <w:rPr>
          <w:color w:val="000000"/>
        </w:rPr>
        <w:t>Reliant’s invested capital turns have increased almost 75% over the last five years, from 0.37 in 1994 to 0.65 in 1998.  We forecast a continued acceleration in capital turns over the next few years, driven primarily by the development trading and marketing and other knowledge-based strategies, reaching 1.11 by 2002.</w:t>
      </w:r>
    </w:p>
    <w:p>
      <w:pPr>
        <w:pStyle w:val="Text"/>
        <w:rPr/>
      </w:pPr>
      <w:r>
        <w:rPr>
          <w:rStyle w:val="Head4"/>
        </w:rPr>
        <w:t>Sales</w:t>
      </w:r>
      <w:r>
        <w:rPr>
          <w:color w:val="FFFFFF"/>
        </w:rPr>
        <w:t>—</w:t>
      </w:r>
      <w:r>
        <w:rPr>
          <w:color w:val="000000"/>
        </w:rPr>
        <w:t>In order to isolate the very different profiles of Reliant’s varied businesses, we have applied specific sales growth rates to each: 20-25% annual growth at its consolidated non-regulated segments, (including trading and marketing, international operations, and interstate pipelines) and 2% growth at the regulated utility segments.  Similarly, we applied individual NOPAT margins to arrive at the consolidated margins discussed previously.</w:t>
      </w:r>
    </w:p>
    <w:p>
      <w:pPr>
        <w:pStyle w:val="Head3"/>
        <w:rPr/>
      </w:pPr>
      <w:r>
        <w:rPr/>
        <w:t>Traditional Metrics</w:t>
      </w:r>
    </w:p>
    <w:p>
      <w:pPr>
        <w:pStyle w:val="Text"/>
        <w:rPr/>
      </w:pPr>
      <w:r>
        <w:rPr/>
        <w:t xml:space="preserve">The stock is trading at 11.2x and 10.1x times our 1999-2000 EPS estimates, compared with our new economy universe average of 12.9x and 11.6x times for the same time periods.  The stock’s dividend yield is 6.4%, compared to the 4.9% universe average. Our 12-18 month price target is $31, based on our discounted earnings valuation approach.  At this price, Reliant would trade at 13.4x times our 2000 EPS estimates.  </w:t>
      </w:r>
    </w:p>
    <w:p>
      <w:pPr>
        <w:pStyle w:val="Text"/>
        <w:rPr/>
      </w:pPr>
      <w:r>
        <w:rPr/>
      </w:r>
    </w:p>
    <w:p>
      <w:pPr>
        <w:pStyle w:val="CameraReadyTableTitle"/>
        <w:rPr/>
      </w:pPr>
      <w:r>
        <w:rPr/>
        <w:t>Exhibit 19</w:t>
        <w:br/>
        <w:t>Reliant Energy ROIC vs WACC</w:t>
      </w:r>
    </w:p>
    <w:p>
      <w:pPr>
        <w:pStyle w:val="CameraReadyTableSubtitle"/>
        <w:rPr/>
      </w:pPr>
      <w:r>
        <w:rPr/>
        <w:t>1994-2003E</w:t>
      </w:r>
    </w:p>
    <w:p>
      <w:pPr>
        <w:sectPr>
          <w:headerReference w:type="default" r:id="rId72"/>
          <w:headerReference w:type="first" r:id="rId73"/>
          <w:footerReference w:type="default" r:id="rId74"/>
          <w:footerReference w:type="first" r:id="rId75"/>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Picture"/>
        <w:jc w:val="start"/>
        <w:rPr/>
      </w:pPr>
      <w:r>
        <w:rPr/>
        <w:drawing>
          <wp:inline distT="0" distB="0" distL="0" distR="0">
            <wp:extent cx="4589145" cy="1877695"/>
            <wp:effectExtent l="0" t="0" r="0" b="0"/>
            <wp:docPr id="39"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 descr="" title=""/>
                    <pic:cNvPicPr>
                      <a:picLocks noChangeAspect="1" noChangeArrowheads="1"/>
                    </pic:cNvPicPr>
                  </pic:nvPicPr>
                  <pic:blipFill>
                    <a:blip r:embed="rId71"/>
                    <a:srcRect l="-7" t="-17" r="-7" b="-17"/>
                    <a:stretch>
                      <a:fillRect/>
                    </a:stretch>
                  </pic:blipFill>
                  <pic:spPr bwMode="auto">
                    <a:xfrm>
                      <a:off x="0" y="0"/>
                      <a:ext cx="4589145" cy="1877695"/>
                    </a:xfrm>
                    <a:prstGeom prst="rect">
                      <a:avLst/>
                    </a:prstGeom>
                    <a:noFill/>
                  </pic:spPr>
                </pic:pic>
              </a:graphicData>
            </a:graphic>
          </wp:inline>
        </w:drawing>
      </w:r>
    </w:p>
    <w:p>
      <w:pPr>
        <w:pStyle w:val="Picture"/>
        <w:rPr/>
      </w:pPr>
      <w:r>
        <w:rPr/>
      </w:r>
    </w:p>
    <w:p>
      <w:pPr>
        <w:pStyle w:val="CameraReadyTableTitle"/>
        <w:rPr/>
      </w:pPr>
      <w:r>
        <w:rPr/>
        <w:t>Exhibit 20</w:t>
        <w:br/>
        <w:t>Reliant Energy Economic Profit Trends</w:t>
      </w:r>
    </w:p>
    <w:p>
      <w:pPr>
        <w:pStyle w:val="CameraReadyTableSubtitle"/>
        <w:rPr/>
      </w:pPr>
      <w:r>
        <w:rPr/>
        <w:t>1994-2003E</w:t>
      </w:r>
    </w:p>
    <w:p>
      <w:pPr>
        <w:pStyle w:val="Picture"/>
        <w:jc w:val="start"/>
        <w:rPr/>
      </w:pPr>
      <w:r>
        <w:rPr/>
        <w:drawing>
          <wp:inline distT="0" distB="0" distL="0" distR="0">
            <wp:extent cx="4587875" cy="2285365"/>
            <wp:effectExtent l="0" t="0" r="0" b="0"/>
            <wp:docPr id="41"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8" descr="" title=""/>
                    <pic:cNvPicPr>
                      <a:picLocks noChangeAspect="1" noChangeArrowheads="1"/>
                    </pic:cNvPicPr>
                  </pic:nvPicPr>
                  <pic:blipFill>
                    <a:blip r:embed="rId76"/>
                    <a:srcRect l="-7" t="-14" r="-7" b="-14"/>
                    <a:stretch>
                      <a:fillRect/>
                    </a:stretch>
                  </pic:blipFill>
                  <pic:spPr bwMode="auto">
                    <a:xfrm>
                      <a:off x="0" y="0"/>
                      <a:ext cx="4587875" cy="2285365"/>
                    </a:xfrm>
                    <a:prstGeom prst="rect">
                      <a:avLst/>
                    </a:prstGeom>
                    <a:noFill/>
                  </pic:spPr>
                </pic:pic>
              </a:graphicData>
            </a:graphic>
          </wp:inline>
        </w:drawing>
      </w:r>
    </w:p>
    <w:p>
      <w:pPr>
        <w:pStyle w:val="Text"/>
        <w:rPr/>
      </w:pPr>
      <w:r>
        <w:rPr/>
      </w:r>
    </w:p>
    <w:p>
      <w:pPr>
        <w:pStyle w:val="Head1"/>
        <w:rPr/>
      </w:pPr>
      <w:bookmarkStart w:id="24" w:name="__RefHeading___Toc471702830"/>
      <w:bookmarkEnd w:id="24"/>
      <w:r>
        <w:rPr/>
        <w:t>AES Corp.</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$85</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rFonts w:eastAsia="Arial"/>
              </w:rPr>
              <w:t xml:space="preserve"> </w:t>
            </w:r>
            <w:r>
              <w:rPr/>
              <w:t>$1.88</w:t>
            </w:r>
          </w:p>
        </w:tc>
        <w:tc>
          <w:tcPr>
            <w:tcW w:w="1530" w:type="dxa"/>
            <w:tcBorders/>
            <w:shd w:fill="DFDFDF" w:val="clear"/>
          </w:tcPr>
          <w:p>
            <w:pPr>
              <w:pStyle w:val="Text"/>
              <w:spacing w:before="0" w:after="120"/>
              <w:jc w:val="center"/>
              <w:rPr/>
            </w:pPr>
            <w:r>
              <w:rPr/>
              <w:t xml:space="preserve">$2.99 </w:t>
            </w:r>
          </w:p>
        </w:tc>
        <w:tc>
          <w:tcPr>
            <w:tcW w:w="1350" w:type="dxa"/>
            <w:tcBorders>
              <w:end w:val="single" w:sz="4" w:space="0" w:color="000000"/>
            </w:tcBorders>
            <w:shd w:fill="DFDFDF" w:val="clear"/>
          </w:tcPr>
          <w:p>
            <w:pPr>
              <w:pStyle w:val="Text"/>
              <w:spacing w:before="0" w:after="120"/>
              <w:jc w:val="center"/>
              <w:rPr/>
            </w:pPr>
            <w:r>
              <w:rPr/>
              <w:t xml:space="preserve">$3.57 </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rFonts w:eastAsia="Arial"/>
              </w:rPr>
              <w:t xml:space="preserve"> </w:t>
            </w:r>
            <w:r>
              <w:rPr/>
              <w:t>8.3%</w:t>
            </w:r>
          </w:p>
        </w:tc>
        <w:tc>
          <w:tcPr>
            <w:tcW w:w="1530" w:type="dxa"/>
            <w:tcBorders>
              <w:bottom w:val="single" w:sz="4" w:space="0" w:color="000000"/>
            </w:tcBorders>
            <w:shd w:fill="DFDFDF" w:val="clear"/>
          </w:tcPr>
          <w:p>
            <w:pPr>
              <w:pStyle w:val="Text"/>
              <w:spacing w:before="0" w:after="120"/>
              <w:jc w:val="center"/>
              <w:rPr/>
            </w:pPr>
            <w:r>
              <w:rPr/>
              <w:t xml:space="preserve">8.5% </w:t>
            </w:r>
          </w:p>
        </w:tc>
        <w:tc>
          <w:tcPr>
            <w:tcW w:w="1350" w:type="dxa"/>
            <w:tcBorders>
              <w:bottom w:val="single" w:sz="4" w:space="0" w:color="000000"/>
              <w:end w:val="single" w:sz="4" w:space="0" w:color="000000"/>
            </w:tcBorders>
            <w:shd w:fill="DFDFDF" w:val="clear"/>
          </w:tcPr>
          <w:p>
            <w:pPr>
              <w:pStyle w:val="Text"/>
              <w:spacing w:before="0" w:after="120"/>
              <w:jc w:val="center"/>
              <w:rPr/>
            </w:pPr>
            <w:r>
              <w:rPr/>
              <w:t xml:space="preserve">8.5% </w:t>
            </w:r>
          </w:p>
        </w:tc>
      </w:tr>
    </w:tbl>
    <w:p>
      <w:pPr>
        <w:pStyle w:val="Text"/>
        <w:rPr/>
      </w:pPr>
      <w:r>
        <w:rPr/>
      </w:r>
    </w:p>
    <w:p>
      <w:pPr>
        <w:pStyle w:val="Text"/>
        <w:tabs>
          <w:tab w:val="clear" w:pos="720"/>
          <w:tab w:val="left" w:pos="360" w:leader="none"/>
        </w:tabs>
        <w:rPr/>
      </w:pPr>
      <w:r>
        <w:rPr/>
        <w:t xml:space="preserve">AES is a power industry new entrant.  The company aggressively invests in power generation and distribution assets on a global basis.  Today AES is active on virtually every continent in the world with the exception of Antarctica.  The company was formed in 1981 as a domestic power project developer.  Today AES is the largest independent power producer in the world with over 24,000 net MW in operation.  </w:t>
      </w:r>
    </w:p>
    <w:p>
      <w:pPr>
        <w:pStyle w:val="Text"/>
        <w:rPr>
          <w:b/>
        </w:rPr>
      </w:pPr>
      <w:r>
        <w:rPr>
          <w:b/>
        </w:rPr>
        <w:t>Investment Outlook</w:t>
      </w:r>
    </w:p>
    <w:p>
      <w:pPr>
        <w:pStyle w:val="Text"/>
        <w:rPr/>
      </w:pPr>
      <w:r>
        <w:rPr/>
        <w:t xml:space="preserve">We reiterate our Buy rating on AES.  In our view the risk/reward profile of AES shares has improved considerably over the past several months with the mitigation of many of our investment concerns regarding AES’s emerging markets exposure.  </w:t>
      </w:r>
    </w:p>
    <w:p>
      <w:pPr>
        <w:pStyle w:val="Text"/>
        <w:rPr/>
      </w:pPr>
      <w:r>
        <w:rPr/>
        <w:t xml:space="preserve">With these concerns diminished, we believe we are left with a very compelling underlying growth story.  In particular, AES is among the best in the industry at locating new investment opportunities and attracting financing.  Exemplifying this skill, AES recently won the competitive bid for the 4000 MW Drax power station in the UK agreeing to pay $3 billion.  This transaction should be accretive to EPS by $0.40 in 2000. </w:t>
      </w:r>
    </w:p>
    <w:p>
      <w:pPr>
        <w:pStyle w:val="Text"/>
        <w:rPr/>
      </w:pPr>
      <w:r>
        <w:rPr>
          <w:b/>
        </w:rPr>
        <w:t xml:space="preserve">29% EPS Growth Projected Through 2001   </w:t>
      </w:r>
      <w:r>
        <w:rPr/>
        <w:t>We project about 29% EPS growth through 2001.  Our 1999-2001 EPS estimates are $1.88, $2.99 and $3.57, respectively.  Our model assumes no unannounced acquisitions or developments.  As such, there is considerable upward revision potential to these estimates. Indeed, the company is currently evaluating 165 new business opportunities (both acquisitions and developments) totaling 120,000 MW in aggregate.  Success on this front would serve as positive catalysts for the stock price and our earnings estimates.</w:t>
      </w:r>
    </w:p>
    <w:p>
      <w:pPr>
        <w:pStyle w:val="Text"/>
        <w:rPr/>
      </w:pPr>
      <w:r>
        <w:rPr>
          <w:b/>
        </w:rPr>
        <w:t xml:space="preserve">Valuation  </w:t>
      </w:r>
      <w:r>
        <w:rPr/>
        <w:t xml:space="preserve"> Our price target is $85 per share.  We derive out target price from our discounted cash flow model, employing a 10.2% discount rate.  AES currently trades at 23.3 and 19.5 times our 2000 and 2001 EPS estimates, respectively.  This valuation implies a 30% discount to the S&amp;P 500 multiple, based on 2001 our EPS estimate.  At $85 per share, AES would trade at 28 and 24 times our 2000 and 2001 EPS estimates, respectively.  At these levels, based on 2001 EPS, AES would trade at a 14% discount to the S&amp;P 500 multiple and at a discount to our projected 29% growth rate.  </w:t>
      </w:r>
    </w:p>
    <w:p>
      <w:pPr>
        <w:pStyle w:val="Text"/>
        <w:tabs>
          <w:tab w:val="clear" w:pos="720"/>
          <w:tab w:val="left" w:pos="360" w:leader="none"/>
        </w:tabs>
        <w:rPr/>
      </w:pPr>
      <w:r>
        <w:rPr/>
      </w:r>
    </w:p>
    <w:p>
      <w:pPr>
        <w:pStyle w:val="Text"/>
        <w:tabs>
          <w:tab w:val="clear" w:pos="720"/>
          <w:tab w:val="left" w:pos="360" w:leader="none"/>
        </w:tabs>
        <w:rPr>
          <w:b/>
        </w:rPr>
      </w:pPr>
      <w:r>
        <w:rPr>
          <w:b/>
        </w:rPr>
        <w:t>New Economy Themes</w:t>
      </w:r>
    </w:p>
    <w:p>
      <w:pPr>
        <w:pStyle w:val="Text"/>
        <w:tabs>
          <w:tab w:val="clear" w:pos="720"/>
          <w:tab w:val="left" w:pos="360" w:leader="none"/>
        </w:tabs>
        <w:rPr/>
      </w:pPr>
      <w:r>
        <w:rPr>
          <w:b/>
        </w:rPr>
        <w:t>1. Knowledge Drives Returns</w:t>
      </w:r>
      <w:r>
        <w:rPr/>
        <w:t xml:space="preserve">    At the core of AES’s business is its new business development network.  AES’s regional acquisition and development teams are knowledgeable on and active in virtually every viable power market and participate in all major privatization auctions.  At any given time, the company reviews over 150 new business opportunities around the world.  Out of this total, AES has historically been able to identify and execute on at least 10-15 projects annually that meet its 15-20%+ hurdle rates (levered IRR).  </w:t>
      </w:r>
    </w:p>
    <w:p>
      <w:pPr>
        <w:pStyle w:val="Text"/>
        <w:rPr/>
      </w:pPr>
      <w:r>
        <w:rPr>
          <w:b/>
        </w:rPr>
        <w:t>2. Financing Skills</w:t>
      </w:r>
      <w:r>
        <w:rPr/>
        <w:t xml:space="preserve">    AES is able to leverage its knowledge base through its financing prowess.  AES has a strong track record of financing its growth, even in turbulent markets.  Since 1996 the company has raised about $9.3 billion of debt and convertible securities and $2 billion of common equity.</w:t>
      </w:r>
    </w:p>
    <w:p>
      <w:pPr>
        <w:pStyle w:val="Text"/>
        <w:rPr/>
      </w:pPr>
      <w:r>
        <w:rPr/>
        <w:t xml:space="preserve">3. </w:t>
      </w:r>
      <w:r>
        <w:rPr>
          <w:b/>
        </w:rPr>
        <w:t>Decentralized Organization</w:t>
      </w:r>
      <w:r>
        <w:rPr/>
        <w:t xml:space="preserve">   AES has one of the most decentralized management structures in the industry, if not all of corporate America.  One of AES’s primary tenets is to make every employee (“person”) a businessperson.  This company practices this principle by allowing all employees to make key strategic decisions.  Senior management sees its role as an advisor, not a decision maker.  Project subsidiaries make all financing and capital expenditure decisions.  Traditionally, those employees who are closest to the action, not senior management, seek out new investments.  </w:t>
      </w:r>
    </w:p>
    <w:p>
      <w:pPr>
        <w:pStyle w:val="Text"/>
        <w:rPr>
          <w:b/>
        </w:rPr>
      </w:pPr>
      <w:r>
        <w:rPr>
          <w:b/>
        </w:rPr>
      </w:r>
    </w:p>
    <w:p>
      <w:pPr>
        <w:pStyle w:val="Text"/>
        <w:rPr>
          <w:b/>
        </w:rPr>
      </w:pPr>
      <w:r>
        <w:rPr>
          <w:b/>
        </w:rPr>
        <w:t>Value Based Analysis Reveals Attractive Business Model Economics</w:t>
      </w:r>
    </w:p>
    <w:p>
      <w:pPr>
        <w:pStyle w:val="Text"/>
        <w:rPr/>
      </w:pPr>
      <w:r>
        <w:rPr>
          <w:b/>
        </w:rPr>
        <w:t>ROIC</w:t>
      </w:r>
      <w:r>
        <w:rPr/>
        <w:t xml:space="preserve">   We project ROIC to grow from 8.3% in 1998 to about 10.2% in 2005.</w:t>
      </w:r>
    </w:p>
    <w:p>
      <w:pPr>
        <w:pStyle w:val="Text"/>
        <w:rPr/>
      </w:pPr>
      <w:r>
        <w:rPr>
          <w:b/>
        </w:rPr>
        <w:t>Invested Capital Turnover</w:t>
      </w:r>
      <w:r>
        <w:rPr/>
        <w:t xml:space="preserve">   Driving the ROIC growth is an increase in capital efficiency as measured by the invested capital turnover ratio.   AES generates a tremendous amount of free cash flow after the completion of its announced acquisition and development backlog.  While significant upfront expenditures are required, ongoing business operations require minimal capital expenditures ($360 million) to maintain the company’s earnings power.  This dynamic drives an increase in the invested capital turnover ratio from 0.33 in 1998 to 0.49 in 2005.</w:t>
      </w:r>
    </w:p>
    <w:p>
      <w:pPr>
        <w:pStyle w:val="Text"/>
        <w:rPr/>
      </w:pPr>
      <w:r>
        <w:rPr>
          <w:b/>
        </w:rPr>
        <w:t>NOPAT Margins</w:t>
      </w:r>
      <w:r>
        <w:rPr/>
        <w:t xml:space="preserve">   For AES the NOPAT margin is a relatively insignificant value driver for AES.  This ratio decreases slightly to 21.9% in 2005 from 22.8% in 1997.</w:t>
      </w:r>
    </w:p>
    <w:p>
      <w:pPr>
        <w:pStyle w:val="Text"/>
        <w:rPr/>
      </w:pPr>
      <w:r>
        <w:rPr>
          <w:b/>
        </w:rPr>
        <w:t>Sales</w:t>
      </w:r>
      <w:r>
        <w:rPr/>
        <w:t xml:space="preserve">   We project sales to grow by about 29% compounded annually over the next 4 years from $2.4 billion in 1998 to $6.1 billion in 2002.  This growth is driven by the buildout of AES’s large acquisition and development backlog.</w:t>
      </w:r>
    </w:p>
    <w:p>
      <w:pPr>
        <w:pStyle w:val="Text"/>
        <w:rPr/>
      </w:pPr>
      <w:r>
        <w:rPr/>
      </w:r>
    </w:p>
    <w:p>
      <w:pPr>
        <w:pStyle w:val="CameraReadyTableTitle"/>
        <w:rPr/>
      </w:pPr>
      <w:r>
        <w:rPr/>
        <w:t>Exhibit 21</w:t>
        <w:br/>
        <w:t>AES Corp. ROIC vs. WACC</w:t>
      </w:r>
    </w:p>
    <w:p>
      <w:pPr>
        <w:pStyle w:val="CameraReadyTableSubtitle"/>
        <w:rPr/>
      </w:pPr>
      <w:r>
        <w:rPr/>
        <w:t>1996-2005E</w:t>
      </w:r>
    </w:p>
    <w:p>
      <w:pPr>
        <w:pStyle w:val="Text"/>
        <w:rPr/>
      </w:pPr>
      <w:r>
        <w:rPr/>
        <w:drawing>
          <wp:inline distT="0" distB="0" distL="0" distR="0">
            <wp:extent cx="4589145" cy="1873885"/>
            <wp:effectExtent l="0" t="0" r="0" b="0"/>
            <wp:docPr id="42"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9" descr="" title=""/>
                    <pic:cNvPicPr>
                      <a:picLocks noChangeAspect="1" noChangeArrowheads="1"/>
                    </pic:cNvPicPr>
                  </pic:nvPicPr>
                  <pic:blipFill>
                    <a:blip r:embed="rId77"/>
                    <a:srcRect l="-7" t="-17" r="-7" b="-17"/>
                    <a:stretch>
                      <a:fillRect/>
                    </a:stretch>
                  </pic:blipFill>
                  <pic:spPr bwMode="auto">
                    <a:xfrm>
                      <a:off x="0" y="0"/>
                      <a:ext cx="4589145" cy="1873885"/>
                    </a:xfrm>
                    <a:prstGeom prst="rect">
                      <a:avLst/>
                    </a:prstGeom>
                    <a:noFill/>
                  </pic:spPr>
                </pic:pic>
              </a:graphicData>
            </a:graphic>
          </wp:inline>
        </w:drawing>
      </w:r>
    </w:p>
    <w:p>
      <w:pPr>
        <w:pStyle w:val="Text"/>
        <w:rPr/>
      </w:pPr>
      <w:r>
        <w:rPr/>
      </w:r>
    </w:p>
    <w:p>
      <w:pPr>
        <w:pStyle w:val="CameraReadyTableTitle"/>
        <w:rPr/>
      </w:pPr>
      <w:r>
        <w:rPr/>
        <w:t>Exhibit 22</w:t>
        <w:br/>
        <w:t>AES Corp. Economic Profit Trends</w:t>
      </w:r>
    </w:p>
    <w:p>
      <w:pPr>
        <w:pStyle w:val="CameraReadyTableSubtitle"/>
        <w:rPr/>
      </w:pPr>
      <w:r>
        <w:rPr/>
        <w:t>1996-2005E</w:t>
      </w:r>
    </w:p>
    <w:p>
      <w:pPr>
        <w:pStyle w:val="Text"/>
        <w:rPr/>
      </w:pPr>
      <w:r>
        <w:rPr/>
        <w:drawing>
          <wp:inline distT="0" distB="0" distL="0" distR="0">
            <wp:extent cx="4588510" cy="2280920"/>
            <wp:effectExtent l="0" t="0" r="0" b="0"/>
            <wp:docPr id="43"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0" descr="" title=""/>
                    <pic:cNvPicPr>
                      <a:picLocks noChangeAspect="1" noChangeArrowheads="1"/>
                    </pic:cNvPicPr>
                  </pic:nvPicPr>
                  <pic:blipFill>
                    <a:blip r:embed="rId78"/>
                    <a:srcRect l="-7" t="-14" r="-7" b="-14"/>
                    <a:stretch>
                      <a:fillRect/>
                    </a:stretch>
                  </pic:blipFill>
                  <pic:spPr bwMode="auto">
                    <a:xfrm>
                      <a:off x="0" y="0"/>
                      <a:ext cx="4588510" cy="2280920"/>
                    </a:xfrm>
                    <a:prstGeom prst="rect">
                      <a:avLst/>
                    </a:prstGeom>
                    <a:noFill/>
                  </pic:spPr>
                </pic:pic>
              </a:graphicData>
            </a:graphic>
          </wp:inline>
        </w:drawing>
      </w:r>
    </w:p>
    <w:p>
      <w:pPr>
        <w:pStyle w:val="Text"/>
        <w:rPr/>
      </w:pPr>
      <w:r>
        <w:rPr/>
      </w:r>
    </w:p>
    <w:p>
      <w:pPr>
        <w:pStyle w:val="Text"/>
        <w:rPr/>
      </w:pPr>
      <w:r>
        <w:rPr/>
      </w:r>
    </w:p>
    <w:p>
      <w:pPr>
        <w:pStyle w:val="Text"/>
        <w:rPr/>
      </w:pPr>
      <w:r>
        <w:rPr/>
      </w:r>
    </w:p>
    <w:p>
      <w:pPr>
        <w:pStyle w:val="Text"/>
        <w:rPr/>
      </w:pPr>
      <w:r>
        <w:rPr/>
      </w:r>
    </w:p>
    <w:p>
      <w:pPr>
        <w:pStyle w:val="Head1"/>
        <w:rPr/>
      </w:pPr>
      <w:bookmarkStart w:id="25" w:name="__RefHeading___Toc471702831"/>
      <w:bookmarkEnd w:id="25"/>
      <w:r>
        <w:rPr/>
        <w:t>Calpine</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Strong 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$72</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rFonts w:eastAsia="Arial"/>
              </w:rPr>
              <w:t xml:space="preserve"> </w:t>
            </w:r>
            <w:r>
              <w:rPr/>
              <w:t>$1.50</w:t>
            </w:r>
          </w:p>
        </w:tc>
        <w:tc>
          <w:tcPr>
            <w:tcW w:w="1530" w:type="dxa"/>
            <w:tcBorders/>
            <w:shd w:fill="DFDFDF" w:val="clear"/>
          </w:tcPr>
          <w:p>
            <w:pPr>
              <w:pStyle w:val="Text"/>
              <w:spacing w:before="0" w:after="120"/>
              <w:jc w:val="center"/>
              <w:rPr/>
            </w:pPr>
            <w:r>
              <w:rPr/>
              <w:t xml:space="preserve">$1.99 </w:t>
            </w:r>
          </w:p>
        </w:tc>
        <w:tc>
          <w:tcPr>
            <w:tcW w:w="1350" w:type="dxa"/>
            <w:tcBorders>
              <w:end w:val="single" w:sz="4" w:space="0" w:color="000000"/>
            </w:tcBorders>
            <w:shd w:fill="DFDFDF" w:val="clear"/>
          </w:tcPr>
          <w:p>
            <w:pPr>
              <w:pStyle w:val="Text"/>
              <w:spacing w:before="0" w:after="120"/>
              <w:jc w:val="center"/>
              <w:rPr/>
            </w:pPr>
            <w:r>
              <w:rPr/>
              <w:t xml:space="preserve">$2.40 </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rFonts w:eastAsia="Arial"/>
              </w:rPr>
              <w:t xml:space="preserve"> </w:t>
            </w:r>
            <w:r>
              <w:rPr/>
              <w:t>7.4%</w:t>
            </w:r>
          </w:p>
        </w:tc>
        <w:tc>
          <w:tcPr>
            <w:tcW w:w="1530" w:type="dxa"/>
            <w:tcBorders>
              <w:bottom w:val="single" w:sz="4" w:space="0" w:color="000000"/>
            </w:tcBorders>
            <w:shd w:fill="DFDFDF" w:val="clear"/>
          </w:tcPr>
          <w:p>
            <w:pPr>
              <w:pStyle w:val="Text"/>
              <w:spacing w:before="0" w:after="120"/>
              <w:jc w:val="center"/>
              <w:rPr/>
            </w:pPr>
            <w:r>
              <w:rPr/>
              <w:t xml:space="preserve">8.3% </w:t>
            </w:r>
          </w:p>
        </w:tc>
        <w:tc>
          <w:tcPr>
            <w:tcW w:w="1350" w:type="dxa"/>
            <w:tcBorders>
              <w:bottom w:val="single" w:sz="4" w:space="0" w:color="000000"/>
              <w:end w:val="single" w:sz="4" w:space="0" w:color="000000"/>
            </w:tcBorders>
            <w:shd w:fill="DFDFDF" w:val="clear"/>
          </w:tcPr>
          <w:p>
            <w:pPr>
              <w:pStyle w:val="Text"/>
              <w:spacing w:before="0" w:after="120"/>
              <w:jc w:val="center"/>
              <w:rPr/>
            </w:pPr>
            <w:r>
              <w:rPr/>
              <w:t xml:space="preserve">10.5% </w:t>
            </w:r>
          </w:p>
        </w:tc>
      </w:tr>
    </w:tbl>
    <w:p>
      <w:pPr>
        <w:pStyle w:val="Text"/>
        <w:rPr/>
      </w:pPr>
      <w:r>
        <w:rPr/>
      </w:r>
    </w:p>
    <w:p>
      <w:pPr>
        <w:pStyle w:val="Text"/>
        <w:rPr/>
      </w:pPr>
      <w:r>
        <w:rPr/>
        <w:t>Calpine is a new entrant to the sector whose primary strategy is to profit from deregulation by replacing the old outdated generation capacity base with new state-of-the-art technology.  The company was formed in 1984 as an engineering services firm.  In the late 1980’s Calpine entered the power project development business.  Its initial public offering took place in 1996.</w:t>
      </w:r>
    </w:p>
    <w:p>
      <w:pPr>
        <w:pStyle w:val="Text"/>
        <w:rPr>
          <w:b/>
        </w:rPr>
      </w:pPr>
      <w:r>
        <w:rPr>
          <w:b/>
        </w:rPr>
        <w:t>Investment Outlook</w:t>
      </w:r>
    </w:p>
    <w:p>
      <w:pPr>
        <w:pStyle w:val="Text"/>
        <w:rPr/>
      </w:pPr>
      <w:r>
        <w:rPr/>
        <w:t>We reiterate our Strong Buy rating on Calpine.  Overall, our rating is based on: 1) A Unique Market Opportunity; 2) 30% EPS Growth; 3) Upward estimate revision potential</w:t>
      </w:r>
    </w:p>
    <w:p>
      <w:pPr>
        <w:pStyle w:val="Text"/>
        <w:rPr/>
      </w:pPr>
      <w:r>
        <w:rPr>
          <w:b/>
        </w:rPr>
        <w:t>1. Unique Market Opportunity and Strategy</w:t>
      </w:r>
      <w:r>
        <w:rPr/>
        <w:t xml:space="preserve">   Calpine faces an unique market opportunity.  The company projects the need for 300,000 new MW of domestic generation capacity by 2004 through displacement, plant retirements and load growth—about 100 times its current operational capacity</w:t>
      </w:r>
    </w:p>
    <w:p>
      <w:pPr>
        <w:pStyle w:val="Text"/>
        <w:rPr/>
      </w:pPr>
      <w:r>
        <w:rPr>
          <w:b/>
        </w:rPr>
        <w:t>2. 30% EPS Growth</w:t>
      </w:r>
      <w:r>
        <w:rPr/>
        <w:t xml:space="preserve">   We are projecting 30% EPS growth through 2002.  Our 1999-2002 EPS estimates are $1.60, $1.99, $2.40 and $3.05, respectively.  Overall, growth is driven by the buildout of Calpine’s announced development pipeline.  Calpine currently has 3,355 MW in operation, 4,076 MW in construction and 3,417 MW in development.  </w:t>
      </w:r>
    </w:p>
    <w:p>
      <w:pPr>
        <w:pStyle w:val="Text"/>
        <w:rPr/>
      </w:pPr>
      <w:r>
        <w:rPr>
          <w:b/>
        </w:rPr>
        <w:t>3. Upward Estimate Revision Potential</w:t>
      </w:r>
      <w:r>
        <w:rPr/>
        <w:t xml:space="preserve">   Our current earnings estimates only assume the acquisition and buildout of 6,380 additional MW.  No unannounced acquisitions or developments are incorporated into our model.  This assumption is highly conservative. </w:t>
      </w:r>
    </w:p>
    <w:p>
      <w:pPr>
        <w:pStyle w:val="Text"/>
        <w:rPr/>
      </w:pPr>
      <w:r>
        <w:rPr>
          <w:b/>
        </w:rPr>
        <w:t>Valuation</w:t>
      </w:r>
      <w:r>
        <w:rPr/>
        <w:t xml:space="preserve">   Our near-term price target for Calpine is $72,  derived from our DCF analysis.  Calpine currently trades at 28.3 times our 2001 EPS estimates, a slight discount to its growth rate.  Given CPN’s upward estimate revision potential and management’s credibility, we believe that a multiple expansion is warranted. </w:t>
      </w:r>
    </w:p>
    <w:p>
      <w:pPr>
        <w:pStyle w:val="Head2"/>
        <w:rPr/>
      </w:pPr>
      <w:r>
        <w:rPr/>
        <w:t xml:space="preserve">New Economy Themes  </w:t>
      </w:r>
    </w:p>
    <w:p>
      <w:pPr>
        <w:pStyle w:val="Text"/>
        <w:rPr/>
      </w:pPr>
      <w:r>
        <w:rPr>
          <w:b/>
        </w:rPr>
        <w:t>1. Knowledge Drives Returns</w:t>
      </w:r>
      <w:r>
        <w:rPr/>
        <w:t xml:space="preserve">   At the core of Calpine’s business is its large highly focused acquisition and development team. This group has considerable expertise in market and site selection, community relations and permitting.  Indeed, Calpine has a strong track-record in locating and executing on high returning projects.  Since the company was formed it has acquired 41 power plants.  It has also succeeded in amassing one of the most impressive domestic asset development pipelines in the industry.</w:t>
      </w:r>
    </w:p>
    <w:p>
      <w:pPr>
        <w:pStyle w:val="Text"/>
        <w:rPr/>
      </w:pPr>
      <w:r>
        <w:rPr>
          <w:b/>
        </w:rPr>
        <w:t>2. Financing Skills</w:t>
      </w:r>
      <w:r>
        <w:rPr/>
        <w:t xml:space="preserve">    Calpine is able to leverage is knowledge base through its financing prowess.  The company has developed a solid reputation in the capital markets since its first public debt issuance in 1994, raising $1.6 billion of senior debt, $276 million of convertible preferred securities and $699 million of common equity.</w:t>
      </w:r>
    </w:p>
    <w:p>
      <w:pPr>
        <w:pStyle w:val="Text"/>
        <w:rPr/>
      </w:pPr>
      <w:r>
        <w:rPr>
          <w:b/>
        </w:rPr>
        <w:t xml:space="preserve">3. Decentralized Organization   </w:t>
      </w:r>
      <w:r>
        <w:rPr/>
        <w:t xml:space="preserve">Calpine has managed its rapid growth by devolving considerable decision making authority to its 3 regional business units.  This organizational structure allows it to respond quickly to new opportunities when they arise.   </w:t>
      </w:r>
    </w:p>
    <w:p>
      <w:pPr>
        <w:pStyle w:val="Text"/>
        <w:rPr>
          <w:b/>
        </w:rPr>
      </w:pPr>
      <w:r>
        <w:rPr>
          <w:b/>
        </w:rPr>
      </w:r>
    </w:p>
    <w:p>
      <w:pPr>
        <w:pStyle w:val="Text"/>
        <w:rPr>
          <w:b/>
        </w:rPr>
      </w:pPr>
      <w:r>
        <w:rPr>
          <w:b/>
        </w:rPr>
        <w:t>Value Based Analysis Reveals Attractive Business Model Economics</w:t>
      </w:r>
    </w:p>
    <w:p>
      <w:pPr>
        <w:pStyle w:val="Text"/>
        <w:rPr/>
      </w:pPr>
      <w:r>
        <w:rPr>
          <w:b/>
        </w:rPr>
        <w:t>ROIC</w:t>
      </w:r>
      <w:r>
        <w:rPr/>
        <w:t xml:space="preserve">   We project ROIC to accelerate rapidly from 7.4% in 1998 to about 12.6% in 2005.  </w:t>
      </w:r>
    </w:p>
    <w:p>
      <w:pPr>
        <w:pStyle w:val="Text"/>
        <w:rPr/>
      </w:pPr>
      <w:r>
        <w:rPr>
          <w:b/>
        </w:rPr>
        <w:t>Invested Capital Turnover</w:t>
      </w:r>
      <w:r>
        <w:rPr/>
        <w:t xml:space="preserve">   This acceleration in ROIC is driven by increasing capital efficiency as measureed by the invested capital turnover ratio.  While Calpine significant upfront expenditures are required to put CPN’s plants into operation, ongoing business operations require minimal capital expenditures ($30-$40 million) to maintain its earnings power.  This dynamic drives an increase in the invested capital turnover ratio from 0.41 in 1998 to 0.54 in 2005.  </w:t>
      </w:r>
    </w:p>
    <w:p>
      <w:pPr>
        <w:pStyle w:val="Text"/>
        <w:rPr/>
      </w:pPr>
      <w:r>
        <w:rPr>
          <w:b/>
        </w:rPr>
        <w:t>NOPAT Margins</w:t>
      </w:r>
      <w:r>
        <w:rPr/>
        <w:t xml:space="preserve">   For Calpine the NOPAT margin is a relatively insignificant value driver.  The NOPAT margin remains relatively unchanged over the forecast period increasing from 21.6% in 1997 to 23.2% in 2005.</w:t>
      </w:r>
    </w:p>
    <w:p>
      <w:pPr>
        <w:pStyle w:val="Text"/>
        <w:rPr/>
      </w:pPr>
      <w:r>
        <w:rPr>
          <w:b/>
        </w:rPr>
        <w:t>Sales</w:t>
      </w:r>
      <w:r>
        <w:rPr/>
        <w:t xml:space="preserve">   We project sales to grow at a compound annual rate of 39% over the next 4 years from $556 million in 1999 to $2.1 billion in 2002.  This growth reflects the buildout of Calpine’s development backlog.</w:t>
      </w:r>
    </w:p>
    <w:p>
      <w:pPr>
        <w:pStyle w:val="Text"/>
        <w:rPr/>
      </w:pPr>
      <w:r>
        <w:rPr/>
      </w:r>
    </w:p>
    <w:p>
      <w:pPr>
        <w:pStyle w:val="CameraReadyTableTitle"/>
        <w:rPr/>
      </w:pPr>
      <w:r>
        <w:rPr/>
        <w:t>Exhibit 23</w:t>
        <w:br/>
        <w:t>Calpine ROIC vs. WACC</w:t>
      </w:r>
    </w:p>
    <w:p>
      <w:pPr>
        <w:pStyle w:val="CameraReadyTableSubtitle"/>
        <w:rPr/>
      </w:pPr>
      <w:r>
        <w:rPr/>
        <w:t>1997-2005E</w:t>
      </w:r>
    </w:p>
    <w:p>
      <w:pPr>
        <w:sectPr>
          <w:headerReference w:type="default" r:id="rId80"/>
          <w:headerReference w:type="first" r:id="rId81"/>
          <w:footerReference w:type="default" r:id="rId82"/>
          <w:footerReference w:type="first" r:id="rId83"/>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Text"/>
        <w:rPr/>
      </w:pPr>
      <w:r>
        <w:rPr/>
        <w:drawing>
          <wp:inline distT="0" distB="0" distL="0" distR="0">
            <wp:extent cx="4579620" cy="1900555"/>
            <wp:effectExtent l="0" t="0" r="0" b="0"/>
            <wp:docPr id="44"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1" descr="" title=""/>
                    <pic:cNvPicPr>
                      <a:picLocks noChangeAspect="1" noChangeArrowheads="1"/>
                    </pic:cNvPicPr>
                  </pic:nvPicPr>
                  <pic:blipFill>
                    <a:blip r:embed="rId79"/>
                    <a:srcRect l="-7" t="-17" r="-7" b="-17"/>
                    <a:stretch>
                      <a:fillRect/>
                    </a:stretch>
                  </pic:blipFill>
                  <pic:spPr bwMode="auto">
                    <a:xfrm>
                      <a:off x="0" y="0"/>
                      <a:ext cx="4579620" cy="1900555"/>
                    </a:xfrm>
                    <a:prstGeom prst="rect">
                      <a:avLst/>
                    </a:prstGeom>
                    <a:noFill/>
                  </pic:spPr>
                </pic:pic>
              </a:graphicData>
            </a:graphic>
          </wp:inline>
        </w:drawing>
      </w:r>
    </w:p>
    <w:p>
      <w:pPr>
        <w:pStyle w:val="CameraReadyTableTitle"/>
        <w:rPr/>
      </w:pPr>
      <w:r>
        <w:rPr/>
      </w:r>
    </w:p>
    <w:p>
      <w:pPr>
        <w:pStyle w:val="CameraReadyTableTitle"/>
        <w:rPr/>
      </w:pPr>
      <w:r>
        <w:rPr/>
        <w:t>Exhibit 24</w:t>
        <w:br/>
        <w:t>Calpine Economic Profit Trends</w:t>
      </w:r>
    </w:p>
    <w:p>
      <w:pPr>
        <w:pStyle w:val="CameraReadyTableSubtitle"/>
        <w:rPr/>
      </w:pPr>
      <w:r>
        <w:rPr/>
        <w:t>1997-2005E</w:t>
      </w:r>
    </w:p>
    <w:p>
      <w:pPr>
        <w:pStyle w:val="Text"/>
        <w:rPr/>
      </w:pPr>
      <w:r>
        <w:rPr/>
        <w:drawing>
          <wp:inline distT="0" distB="0" distL="0" distR="0">
            <wp:extent cx="4584700" cy="1929130"/>
            <wp:effectExtent l="0" t="0" r="0" b="0"/>
            <wp:docPr id="46"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2" descr="" title=""/>
                    <pic:cNvPicPr>
                      <a:picLocks noChangeAspect="1" noChangeArrowheads="1"/>
                    </pic:cNvPicPr>
                  </pic:nvPicPr>
                  <pic:blipFill>
                    <a:blip r:embed="rId84"/>
                    <a:srcRect l="-6" t="-15" r="-6" b="-15"/>
                    <a:stretch>
                      <a:fillRect/>
                    </a:stretch>
                  </pic:blipFill>
                  <pic:spPr bwMode="auto">
                    <a:xfrm>
                      <a:off x="0" y="0"/>
                      <a:ext cx="4584700" cy="1929130"/>
                    </a:xfrm>
                    <a:prstGeom prst="rect">
                      <a:avLst/>
                    </a:prstGeom>
                    <a:noFill/>
                  </pic:spPr>
                </pic:pic>
              </a:graphicData>
            </a:graphic>
          </wp:inline>
        </w:drawing>
      </w:r>
    </w:p>
    <w:p>
      <w:pPr>
        <w:pStyle w:val="Text"/>
        <w:rPr/>
      </w:pPr>
      <w:r>
        <w:rPr/>
      </w:r>
    </w:p>
    <w:p>
      <w:pPr>
        <w:pStyle w:val="Text"/>
        <w:rPr/>
      </w:pPr>
      <w:r>
        <w:rPr/>
      </w:r>
    </w:p>
    <w:p>
      <w:pPr>
        <w:pStyle w:val="Head1"/>
        <w:rPr/>
      </w:pPr>
      <w:bookmarkStart w:id="26" w:name="__RefHeading___Toc471702832"/>
      <w:bookmarkEnd w:id="26"/>
      <w:r>
        <w:rPr/>
        <w:t>NSTAR</w:t>
      </w:r>
    </w:p>
    <w:tbl>
      <w:tblPr>
        <w:tblW w:w="7398" w:type="dxa"/>
        <w:jc w:val="start"/>
        <w:tblInd w:w="0" w:type="dxa"/>
        <w:tblLayout w:type="fixed"/>
        <w:tblCellMar>
          <w:top w:w="0" w:type="dxa"/>
          <w:start w:w="108" w:type="dxa"/>
          <w:bottom w:w="0" w:type="dxa"/>
          <w:end w:w="108" w:type="dxa"/>
        </w:tblCellMar>
      </w:tblPr>
      <w:tblGrid>
        <w:gridCol w:w="2898"/>
        <w:gridCol w:w="1620"/>
        <w:gridCol w:w="1530"/>
        <w:gridCol w:w="1350"/>
      </w:tblGrid>
      <w:tr>
        <w:trPr/>
        <w:tc>
          <w:tcPr>
            <w:tcW w:w="2898" w:type="dxa"/>
            <w:tcBorders>
              <w:top w:val="single" w:sz="4" w:space="0" w:color="000000"/>
              <w:start w:val="single" w:sz="4" w:space="0" w:color="000000"/>
            </w:tcBorders>
            <w:shd w:fill="C0C0C0" w:val="clear"/>
          </w:tcPr>
          <w:p>
            <w:pPr>
              <w:pStyle w:val="Text"/>
              <w:spacing w:before="0" w:after="120"/>
              <w:rPr>
                <w:b/>
              </w:rPr>
            </w:pPr>
            <w:r>
              <w:rPr>
                <w:b/>
              </w:rPr>
              <w:t>Recommendation</w:t>
            </w:r>
          </w:p>
        </w:tc>
        <w:tc>
          <w:tcPr>
            <w:tcW w:w="4500" w:type="dxa"/>
            <w:gridSpan w:val="3"/>
            <w:tcBorders>
              <w:top w:val="single" w:sz="4" w:space="0" w:color="000000"/>
              <w:end w:val="single" w:sz="4" w:space="0" w:color="000000"/>
            </w:tcBorders>
            <w:shd w:fill="DFDFDF" w:val="clear"/>
          </w:tcPr>
          <w:p>
            <w:pPr>
              <w:pStyle w:val="Text"/>
              <w:spacing w:before="0" w:after="120"/>
              <w:rPr>
                <w:b/>
              </w:rPr>
            </w:pPr>
            <w:r>
              <w:rPr>
                <w:b/>
              </w:rPr>
              <w:t>Buy</w:t>
            </w:r>
          </w:p>
        </w:tc>
      </w:tr>
      <w:tr>
        <w:trPr/>
        <w:tc>
          <w:tcPr>
            <w:tcW w:w="2898" w:type="dxa"/>
            <w:tcBorders>
              <w:start w:val="single" w:sz="4" w:space="0" w:color="000000"/>
            </w:tcBorders>
            <w:shd w:fill="C0C0C0" w:val="clear"/>
          </w:tcPr>
          <w:p>
            <w:pPr>
              <w:pStyle w:val="Text"/>
              <w:spacing w:before="0" w:after="120"/>
              <w:rPr>
                <w:b/>
              </w:rPr>
            </w:pPr>
            <w:r>
              <w:rPr>
                <w:b/>
              </w:rPr>
              <w:t>Price Target</w:t>
            </w:r>
          </w:p>
        </w:tc>
        <w:tc>
          <w:tcPr>
            <w:tcW w:w="4500" w:type="dxa"/>
            <w:gridSpan w:val="3"/>
            <w:tcBorders>
              <w:end w:val="single" w:sz="4" w:space="0" w:color="000000"/>
            </w:tcBorders>
            <w:shd w:fill="DFDFDF" w:val="clear"/>
          </w:tcPr>
          <w:p>
            <w:pPr>
              <w:pStyle w:val="Text"/>
              <w:spacing w:before="0" w:after="120"/>
              <w:jc w:val="start"/>
              <w:rPr/>
            </w:pPr>
            <w:r>
              <w:rPr/>
              <w:t>$48</w:t>
            </w:r>
          </w:p>
        </w:tc>
      </w:tr>
      <w:tr>
        <w:trPr>
          <w:trHeight w:val="173" w:hRule="atLeast"/>
        </w:trPr>
        <w:tc>
          <w:tcPr>
            <w:tcW w:w="2898" w:type="dxa"/>
            <w:tcBorders>
              <w:start w:val="single" w:sz="4" w:space="0" w:color="000000"/>
              <w:end w:val="single" w:sz="6" w:space="0" w:color="808080"/>
            </w:tcBorders>
            <w:shd w:fill="C0C0C0" w:val="clear"/>
          </w:tcPr>
          <w:p>
            <w:pPr>
              <w:pStyle w:val="Text"/>
              <w:snapToGrid w:val="false"/>
              <w:spacing w:before="0" w:after="120"/>
              <w:rPr/>
            </w:pPr>
            <w:r>
              <w:rPr/>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1999</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2001</w:t>
            </w:r>
          </w:p>
        </w:tc>
      </w:tr>
      <w:tr>
        <w:trPr>
          <w:trHeight w:val="172" w:hRule="atLeast"/>
        </w:trPr>
        <w:tc>
          <w:tcPr>
            <w:tcW w:w="2898" w:type="dxa"/>
            <w:tcBorders>
              <w:start w:val="single" w:sz="4" w:space="0" w:color="000000"/>
              <w:end w:val="single" w:sz="6" w:space="0" w:color="808080"/>
            </w:tcBorders>
            <w:shd w:fill="C0C0C0" w:val="clear"/>
          </w:tcPr>
          <w:p>
            <w:pPr>
              <w:pStyle w:val="Text"/>
              <w:spacing w:before="0" w:after="120"/>
              <w:rPr>
                <w:b/>
              </w:rPr>
            </w:pPr>
            <w:r>
              <w:rPr>
                <w:b/>
              </w:rPr>
              <w:t>EPS</w:t>
            </w:r>
          </w:p>
        </w:tc>
        <w:tc>
          <w:tcPr>
            <w:tcW w:w="1620" w:type="dxa"/>
            <w:tcBorders/>
            <w:shd w:fill="DFDFDF" w:val="clear"/>
          </w:tcPr>
          <w:p>
            <w:pPr>
              <w:pStyle w:val="Text"/>
              <w:spacing w:before="0" w:after="120"/>
              <w:jc w:val="center"/>
              <w:rPr/>
            </w:pPr>
            <w:r>
              <w:rPr/>
              <w:t>$2.95</w:t>
            </w:r>
          </w:p>
        </w:tc>
        <w:tc>
          <w:tcPr>
            <w:tcW w:w="1530" w:type="dxa"/>
            <w:tcBorders/>
            <w:shd w:fill="DFDFDF" w:val="clear"/>
          </w:tcPr>
          <w:p>
            <w:pPr>
              <w:pStyle w:val="Text"/>
              <w:spacing w:before="0" w:after="120"/>
              <w:jc w:val="center"/>
              <w:rPr/>
            </w:pPr>
            <w:r>
              <w:rPr/>
              <w:t>$3.26</w:t>
            </w:r>
          </w:p>
        </w:tc>
        <w:tc>
          <w:tcPr>
            <w:tcW w:w="1350" w:type="dxa"/>
            <w:tcBorders>
              <w:end w:val="single" w:sz="4" w:space="0" w:color="000000"/>
            </w:tcBorders>
            <w:shd w:fill="DFDFDF" w:val="clear"/>
          </w:tcPr>
          <w:p>
            <w:pPr>
              <w:pStyle w:val="Text"/>
              <w:spacing w:before="0" w:after="120"/>
              <w:jc w:val="center"/>
              <w:rPr/>
            </w:pPr>
            <w:r>
              <w:rPr/>
              <w:t>$3.60</w:t>
            </w:r>
          </w:p>
        </w:tc>
      </w:tr>
      <w:tr>
        <w:trPr>
          <w:trHeight w:val="173" w:hRule="atLeast"/>
        </w:trPr>
        <w:tc>
          <w:tcPr>
            <w:tcW w:w="2898" w:type="dxa"/>
            <w:vMerge w:val="restart"/>
            <w:tcBorders>
              <w:start w:val="single" w:sz="4" w:space="0" w:color="000000"/>
              <w:end w:val="single" w:sz="6" w:space="0" w:color="808080"/>
            </w:tcBorders>
            <w:shd w:fill="C0C0C0" w:val="clear"/>
          </w:tcPr>
          <w:p>
            <w:pPr>
              <w:pStyle w:val="Text"/>
              <w:spacing w:before="0" w:after="120"/>
              <w:rPr>
                <w:b/>
              </w:rPr>
            </w:pPr>
            <w:r>
              <w:rPr>
                <w:b/>
              </w:rPr>
              <w:t>ROIC</w:t>
            </w:r>
          </w:p>
        </w:tc>
        <w:tc>
          <w:tcPr>
            <w:tcW w:w="1620" w:type="dxa"/>
            <w:tcBorders>
              <w:top w:val="single" w:sz="6" w:space="0" w:color="808080"/>
              <w:bottom w:val="single" w:sz="4" w:space="0" w:color="000000"/>
            </w:tcBorders>
            <w:shd w:fill="DFDFDF" w:val="clear"/>
          </w:tcPr>
          <w:p>
            <w:pPr>
              <w:pStyle w:val="Text"/>
              <w:spacing w:before="0" w:after="120"/>
              <w:jc w:val="center"/>
              <w:rPr>
                <w:b/>
              </w:rPr>
            </w:pPr>
            <w:r>
              <w:rPr>
                <w:b/>
              </w:rPr>
              <w:t>1998</w:t>
            </w:r>
          </w:p>
        </w:tc>
        <w:tc>
          <w:tcPr>
            <w:tcW w:w="1530" w:type="dxa"/>
            <w:tcBorders>
              <w:top w:val="single" w:sz="6" w:space="0" w:color="808080"/>
              <w:bottom w:val="single" w:sz="4" w:space="0" w:color="000000"/>
            </w:tcBorders>
            <w:shd w:fill="DFDFDF" w:val="clear"/>
          </w:tcPr>
          <w:p>
            <w:pPr>
              <w:pStyle w:val="Text"/>
              <w:spacing w:before="0" w:after="120"/>
              <w:jc w:val="center"/>
              <w:rPr>
                <w:b/>
              </w:rPr>
            </w:pPr>
            <w:r>
              <w:rPr>
                <w:b/>
              </w:rPr>
              <w:t>2000</w:t>
            </w:r>
          </w:p>
        </w:tc>
        <w:tc>
          <w:tcPr>
            <w:tcW w:w="1350" w:type="dxa"/>
            <w:tcBorders>
              <w:top w:val="single" w:sz="6" w:space="0" w:color="808080"/>
              <w:bottom w:val="single" w:sz="4" w:space="0" w:color="000000"/>
              <w:end w:val="single" w:sz="4" w:space="0" w:color="000000"/>
            </w:tcBorders>
            <w:shd w:fill="DFDFDF" w:val="clear"/>
          </w:tcPr>
          <w:p>
            <w:pPr>
              <w:pStyle w:val="Text"/>
              <w:spacing w:before="0" w:after="120"/>
              <w:jc w:val="center"/>
              <w:rPr>
                <w:b/>
              </w:rPr>
            </w:pPr>
            <w:r>
              <w:rPr>
                <w:b/>
              </w:rPr>
              <w:t>2002</w:t>
            </w:r>
          </w:p>
        </w:tc>
      </w:tr>
      <w:tr>
        <w:trPr>
          <w:trHeight w:val="172" w:hRule="atLeast"/>
        </w:trPr>
        <w:tc>
          <w:tcPr>
            <w:tcW w:w="2898" w:type="dxa"/>
            <w:vMerge w:val="continue"/>
            <w:tcBorders>
              <w:start w:val="single" w:sz="4" w:space="0" w:color="000000"/>
              <w:end w:val="single" w:sz="6" w:space="0" w:color="808080"/>
            </w:tcBorders>
            <w:shd w:fill="C0C0C0" w:val="clear"/>
          </w:tcPr>
          <w:p>
            <w:pPr>
              <w:pStyle w:val="Text"/>
              <w:snapToGrid w:val="false"/>
              <w:spacing w:before="0" w:after="120"/>
              <w:rPr>
                <w:b/>
              </w:rPr>
            </w:pPr>
            <w:r>
              <w:rPr>
                <w:b/>
              </w:rPr>
            </w:r>
          </w:p>
        </w:tc>
        <w:tc>
          <w:tcPr>
            <w:tcW w:w="1620" w:type="dxa"/>
            <w:tcBorders>
              <w:bottom w:val="single" w:sz="4" w:space="0" w:color="000000"/>
            </w:tcBorders>
            <w:shd w:fill="DFDFDF" w:val="clear"/>
          </w:tcPr>
          <w:p>
            <w:pPr>
              <w:pStyle w:val="Text"/>
              <w:spacing w:before="0" w:after="120"/>
              <w:jc w:val="center"/>
              <w:rPr/>
            </w:pPr>
            <w:r>
              <w:rPr/>
              <w:t>7.0%</w:t>
            </w:r>
          </w:p>
        </w:tc>
        <w:tc>
          <w:tcPr>
            <w:tcW w:w="1530" w:type="dxa"/>
            <w:tcBorders>
              <w:bottom w:val="single" w:sz="4" w:space="0" w:color="000000"/>
            </w:tcBorders>
            <w:shd w:fill="DFDFDF" w:val="clear"/>
          </w:tcPr>
          <w:p>
            <w:pPr>
              <w:pStyle w:val="Text"/>
              <w:spacing w:before="0" w:after="120"/>
              <w:jc w:val="center"/>
              <w:rPr/>
            </w:pPr>
            <w:r>
              <w:rPr/>
              <w:t>7.4%</w:t>
            </w:r>
          </w:p>
        </w:tc>
        <w:tc>
          <w:tcPr>
            <w:tcW w:w="1350" w:type="dxa"/>
            <w:tcBorders>
              <w:bottom w:val="single" w:sz="4" w:space="0" w:color="000000"/>
              <w:end w:val="single" w:sz="4" w:space="0" w:color="000000"/>
            </w:tcBorders>
            <w:shd w:fill="DFDFDF" w:val="clear"/>
          </w:tcPr>
          <w:p>
            <w:pPr>
              <w:pStyle w:val="Text"/>
              <w:spacing w:before="0" w:after="120"/>
              <w:jc w:val="center"/>
              <w:rPr/>
            </w:pPr>
            <w:r>
              <w:rPr/>
              <w:t>8.1%</w:t>
            </w:r>
          </w:p>
        </w:tc>
      </w:tr>
    </w:tbl>
    <w:p>
      <w:pPr>
        <w:pStyle w:val="Text"/>
        <w:rPr/>
      </w:pPr>
      <w:r>
        <w:rPr/>
      </w:r>
    </w:p>
    <w:p>
      <w:pPr>
        <w:pStyle w:val="Text"/>
        <w:rPr/>
      </w:pPr>
      <w:r>
        <w:rPr/>
        <w:t xml:space="preserve">We are reiterating our Buy recommendation on NSTAR.  We believe that the NSTAR story continues to evolve toward our New Economy Electric theme.  NSTAR’s strategic vision is to become the premier wires and pipes delivery company in the region by employing a conservative business strategy.  To compliment this strategy NSTAR is also building a very successful unregulated business portfolio in telecommunications with RCN and a profitable district energy business with AES.  </w:t>
      </w:r>
    </w:p>
    <w:p>
      <w:pPr>
        <w:pStyle w:val="Text"/>
        <w:rPr/>
      </w:pPr>
      <w:r>
        <w:rPr/>
        <w:t>There are a number of factors driving our bullish outlook.  We should begin to see an acceleration of the cost synergies created by the merger with ComEnergy. Importantly NSTAR’s utility business has a rate freeze and no ROE restrictions through 2004 so the savings will go to shareholders.  In addition, over the last year, the company has brought in a substantial amount of cash (approximately $925 million) through securitization and the sale of the Pilgrim Nuclear station.  While the majority of this has been deployed (both to pay down debt and to help fund the merger), it has resulted in a company with a clean, strong balance sheet.  This sets the foundation for the company’s announced $300 million stock repurchase, which can now easily be financed through short term debt (we have the company repurchase approximately 8 million shares through 2001).  In addition the joint venture between Boston Edison and RCN (a subsidiary of C-TEC) to provide local and long distance telephone service, video, high speed internet access and eventually energy management services in the Boston area is taking off.</w:t>
      </w:r>
    </w:p>
    <w:p>
      <w:pPr>
        <w:pStyle w:val="Text"/>
        <w:rPr/>
      </w:pPr>
      <w:r>
        <w:rPr/>
        <w:t>These factors, combined with the very positive regulatory environment in Massachusetts, drive our expectations of 9-10% average earnings growth, which is amongst the best in the group.  Our 1999-2001 EPS estimates remains unchanged at $2.95, $3.26 and $3.60, respectively.  The quality of that growth should increase as well with ROIC climbing to x% by 2002 up from x% in 1998.  Our interest-rate sensitive price target is $50, which indicates a total potential return of almost 28%.</w:t>
      </w:r>
    </w:p>
    <w:p>
      <w:pPr>
        <w:pStyle w:val="Text"/>
        <w:rPr/>
      </w:pPr>
      <w:r>
        <w:rPr/>
      </w:r>
    </w:p>
    <w:p>
      <w:pPr>
        <w:pStyle w:val="Head2"/>
        <w:rPr/>
      </w:pPr>
      <w:r>
        <w:rPr/>
        <w:t>New Economy Themes</w:t>
      </w:r>
    </w:p>
    <w:p>
      <w:pPr>
        <w:pStyle w:val="Text"/>
        <w:rPr/>
      </w:pPr>
      <w:r>
        <w:rPr>
          <w:rStyle w:val="Head4"/>
        </w:rPr>
        <w:t>Innovative Regulatory Environment</w:t>
      </w:r>
      <w:r>
        <w:rPr/>
        <w:t xml:space="preserve"> NST is using its knowledge base to effectively leverage off its existing utility assets. The utility has been able earn more than its cost of capital through an innovative rate deal that freezes rates  and has no ROE cap for the next four years.  In addition the company has reached a regulatory agreement that allows the company to exploit its infrastructure in the Boston and surrounding areas.  They are doing this in telecommunications.  </w:t>
      </w:r>
    </w:p>
    <w:p>
      <w:pPr>
        <w:pStyle w:val="Text"/>
        <w:rPr/>
      </w:pPr>
      <w:r>
        <w:rPr/>
      </w:r>
    </w:p>
    <w:p>
      <w:pPr>
        <w:pStyle w:val="Text"/>
        <w:rPr/>
      </w:pPr>
      <w:r>
        <w:rPr>
          <w:rStyle w:val="Head4"/>
        </w:rPr>
        <w:t>Telecommunications Strategy</w:t>
      </w:r>
      <w:r>
        <w:rPr>
          <w:color w:val="FFFFFF"/>
        </w:rPr>
        <w:t>—</w:t>
      </w:r>
      <w:r>
        <w:rPr/>
        <w:t xml:space="preserve">NSTAR has been effectively exploiting its transmission and distribution (wires) assets and work force.  The company has used its existing rights of way, utility workforce and existing customer base to sell telecommunication services within its traditional service territory.  Because its knowledge of the telecommunications business is limited, it has entered into joint ventures with a more knowledgeable partner (RCN).  The joint venture is providing and will provide local and long distance telephone service, video, high speed internet access and eventually energy management services. The venture’s goal is to provide one stop shopping for energy and telecommunications services to a population of 1.5 million the Boston metropolitan area.  The telecommunications network is expected to cost approximately $300 million.  This venture will take the form of an unregulated business and will utilize Boston Edison’s 200 miles of existing fiber optic cable.  </w:t>
      </w:r>
    </w:p>
    <w:p>
      <w:pPr>
        <w:pStyle w:val="Text"/>
        <w:rPr/>
      </w:pPr>
      <w:r>
        <w:rPr/>
        <w:t xml:space="preserve">Currently the build out is going well.  To date NST has $190 million invested in the venture, 22 towns have signed to video agreements, 12 under construction, and 5 with operational systems.  In addition the two companies have built 1000 miles of the network already.  The target is for 30%+ penetration for on-net connections.  </w:t>
      </w:r>
    </w:p>
    <w:p>
      <w:pPr>
        <w:pStyle w:val="Text"/>
        <w:rPr/>
      </w:pPr>
      <w:r>
        <w:rPr/>
        <w:t xml:space="preserve">The economics of the joint venture have been very beneficial to NSTAR thus far.  Qualitatively this JV makes a lot of sense, but quantitatively the results are even better.  Thus far NST has invested $190 million in cash and is losing about $0.15 per share this year.  However NST has converted $11 million of their investment into RCN stock which is now worth $50 million.  So on the first $11 million NST has gotten a return of 5 times.  NST will be converting another $90 million shortly.  We estimate that after the conversion that $90 million could be worth over $220 million, more than double the original investment.  </w:t>
      </w:r>
    </w:p>
    <w:p>
      <w:pPr>
        <w:pStyle w:val="Text"/>
        <w:rPr/>
      </w:pPr>
      <w:r>
        <w:rPr/>
        <w:t>In addition, it is important to note that the shareholder value created through the conversion (and appreciation) of RCN common stock is not reflected in the company’s ROIC profile.  Because this conversion effectively creates a new asset for the company with no relevant earnings stream, it is not captured in NOPAT.  As a result, it is only the operating earnings of the joint venture that are reflected in NST’s ROIC calculation.  As the buildout phase of the telecommunications joint venture winds down it becomes earnings positive, we see a positive trend in NOPAT and thus an increase in ROIC.  However, while not operating earnings, the positive value extracted through the conversion to RCN shares should certainly be considered when evaluating the effectiveness of capital invested in the venture.  Clearly, NST is creating a lot of value for their shareholders through this JV.</w:t>
      </w:r>
    </w:p>
    <w:p>
      <w:pPr>
        <w:pStyle w:val="Head2"/>
        <w:rPr/>
      </w:pPr>
      <w:r>
        <w:rPr/>
        <w:t>Valuation Metrics</w:t>
      </w:r>
    </w:p>
    <w:p>
      <w:pPr>
        <w:pStyle w:val="Head3"/>
        <w:rPr/>
      </w:pPr>
      <w:r>
        <w:rPr/>
        <w:t>Value Based Analysis</w:t>
      </w:r>
    </w:p>
    <w:p>
      <w:pPr>
        <w:pStyle w:val="Text"/>
        <w:rPr>
          <w:color w:val="000000"/>
        </w:rPr>
      </w:pPr>
      <w:r>
        <w:rPr>
          <w:color w:val="000000"/>
        </w:rPr>
        <w:t xml:space="preserve">The combination of the divestiture of its generation assets, synergies from the COMEnergy merger, and the telecommunications venture all have positive value based implications for NSTAR. </w:t>
      </w:r>
    </w:p>
    <w:p>
      <w:pPr>
        <w:pStyle w:val="Text"/>
        <w:rPr/>
      </w:pPr>
      <w:r>
        <w:rPr>
          <w:rStyle w:val="Head4"/>
        </w:rPr>
        <w:t>ROIC</w:t>
      </w:r>
      <w:r>
        <w:rPr>
          <w:color w:val="FFFFFF"/>
        </w:rPr>
        <w:t>—</w:t>
      </w:r>
      <w:r>
        <w:rPr>
          <w:color w:val="000000"/>
        </w:rPr>
        <w:t xml:space="preserve">We forecast that the company’s ROIC should grow from 7.3% in 1999 to 8.1% in 2002.  However, within this timeframe, we forecast that NST’s returns will  drop significantly in 2001 to reflect the first two-year period after the COMEnergy merger (this is relevant because we use average invested capital as the denominator for our calculations) and subsequent increase in ROIC in 2002 as the buildout phase of the telecommunications strategy declines and continued synergies from the merger are realized. </w:t>
      </w:r>
    </w:p>
    <w:p>
      <w:pPr>
        <w:pStyle w:val="Text"/>
        <w:rPr/>
      </w:pPr>
      <w:r>
        <w:rPr>
          <w:rStyle w:val="Head4"/>
        </w:rPr>
        <w:t>NOPAT Margins</w:t>
      </w:r>
      <w:r>
        <w:rPr>
          <w:color w:val="FFFFFF"/>
        </w:rPr>
        <w:t>—</w:t>
      </w:r>
      <w:r>
        <w:rPr>
          <w:color w:val="000000"/>
        </w:rPr>
        <w:t xml:space="preserve">In 1998, NSTAR’s NOPAT margins were 13.7%.  We forecast NOPAT margins remaining relatively constant through 2001, and then increasing to 18% as both merger synergies and the RCN venture mature. </w:t>
      </w:r>
    </w:p>
    <w:p>
      <w:pPr>
        <w:pStyle w:val="Text"/>
        <w:rPr/>
      </w:pPr>
      <w:r>
        <w:rPr>
          <w:rStyle w:val="Head4"/>
        </w:rPr>
        <w:t>Invested Capital Turnover</w:t>
      </w:r>
      <w:r>
        <w:rPr>
          <w:color w:val="FFFFFF"/>
        </w:rPr>
        <w:t>—</w:t>
      </w:r>
      <w:r>
        <w:rPr>
          <w:color w:val="000000"/>
        </w:rPr>
        <w:t>NST’s invested capital turns have increased 9% over the last five years, from 0.47 in 1994 to 0.51 in 1998.  We forecast an initial decline in capital turns as a result of the investment in COMEnergy.  In 2002, we forecast invested capital turns of 0.46.</w:t>
      </w:r>
    </w:p>
    <w:p>
      <w:pPr>
        <w:pStyle w:val="Text"/>
        <w:rPr/>
      </w:pPr>
      <w:r>
        <w:rPr>
          <w:rStyle w:val="Head4"/>
        </w:rPr>
        <w:t>Sales</w:t>
      </w:r>
      <w:r>
        <w:rPr>
          <w:color w:val="FFFFFF"/>
        </w:rPr>
        <w:t>—</w:t>
      </w:r>
      <w:r>
        <w:rPr>
          <w:color w:val="000000"/>
        </w:rPr>
        <w:t>As a result of competition in NSTAR’s region and the divestiture of generation, we forecast decreasing sales in 1999 and 2001 (in 2000, sales increase 59% as a result of the acquisition of COMEnergy).  Beginning in 2002, we forecast modest 2% growth at the regulated business, and 20% topline growth from the telecommunications venture.</w:t>
      </w:r>
    </w:p>
    <w:p>
      <w:pPr>
        <w:pStyle w:val="Head3"/>
        <w:rPr/>
      </w:pPr>
      <w:r>
        <w:rPr/>
        <w:t>Traditional Metrics</w:t>
      </w:r>
    </w:p>
    <w:p>
      <w:pPr>
        <w:pStyle w:val="Text"/>
        <w:rPr>
          <w:color w:val="000000"/>
        </w:rPr>
      </w:pPr>
      <w:r>
        <w:rPr/>
        <w:t xml:space="preserve">NST’s stock is currently trading with a P/E ratio of 13.5x and 12.2x our 1999 and 2000 EPS estimates, respectively; compared to our new economy universe averages of 12.9x and 11.6x for the same earnings periods.  The company's dividend yield is 5% compared with our universe average of 4.9%.  We feel that the dividend is comparatively safe with the company having a payout ratio of around 73% in 1998.  Our interest rate sensitive 12-18 month price target is $48.  At this price NSTAR would trade at 14.7x our 2000 estimate.  </w:t>
      </w:r>
    </w:p>
    <w:p>
      <w:pPr>
        <w:pStyle w:val="CameraReadyTableTitle"/>
        <w:rPr/>
      </w:pPr>
      <w:r>
        <w:rPr/>
        <w:t>Exhibit 25</w:t>
        <w:br/>
        <w:t>NSTAR ROIC vs WACC</w:t>
      </w:r>
    </w:p>
    <w:p>
      <w:pPr>
        <w:pStyle w:val="CameraReadyTableSubtitle"/>
        <w:rPr/>
      </w:pPr>
      <w:r>
        <w:rPr/>
        <w:t>1994-2003E</w:t>
      </w:r>
    </w:p>
    <w:p>
      <w:pPr>
        <w:pStyle w:val="Picture"/>
        <w:rPr/>
      </w:pPr>
      <w:r>
        <w:rPr/>
        <w:drawing>
          <wp:inline distT="0" distB="0" distL="0" distR="0">
            <wp:extent cx="4589145" cy="1877695"/>
            <wp:effectExtent l="0" t="0" r="0" b="0"/>
            <wp:docPr id="47"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3" descr="" title=""/>
                    <pic:cNvPicPr>
                      <a:picLocks noChangeAspect="1" noChangeArrowheads="1"/>
                    </pic:cNvPicPr>
                  </pic:nvPicPr>
                  <pic:blipFill>
                    <a:blip r:embed="rId85"/>
                    <a:srcRect l="-7" t="-17" r="-7" b="-17"/>
                    <a:stretch>
                      <a:fillRect/>
                    </a:stretch>
                  </pic:blipFill>
                  <pic:spPr bwMode="auto">
                    <a:xfrm>
                      <a:off x="0" y="0"/>
                      <a:ext cx="4589145" cy="1877695"/>
                    </a:xfrm>
                    <a:prstGeom prst="rect">
                      <a:avLst/>
                    </a:prstGeom>
                    <a:noFill/>
                  </pic:spPr>
                </pic:pic>
              </a:graphicData>
            </a:graphic>
          </wp:inline>
        </w:drawing>
      </w:r>
    </w:p>
    <w:p>
      <w:pPr>
        <w:pStyle w:val="Picture"/>
        <w:rPr/>
      </w:pPr>
      <w:r>
        <w:rPr/>
      </w:r>
    </w:p>
    <w:p>
      <w:pPr>
        <w:pStyle w:val="CameraReadyTableTitle"/>
        <w:rPr/>
      </w:pPr>
      <w:r>
        <w:rPr/>
        <w:t>Exhibit 26</w:t>
        <w:br/>
        <w:t>NSTAR Economic Profit Trends</w:t>
      </w:r>
    </w:p>
    <w:p>
      <w:pPr>
        <w:pStyle w:val="CameraReadyTableSubtitle"/>
        <w:rPr/>
      </w:pPr>
      <w:r>
        <w:rPr/>
        <w:t>1994-2003E</w:t>
      </w:r>
    </w:p>
    <w:p>
      <w:pPr>
        <w:sectPr>
          <w:headerReference w:type="default" r:id="rId87"/>
          <w:headerReference w:type="first" r:id="rId88"/>
          <w:footerReference w:type="default" r:id="rId89"/>
          <w:footerReference w:type="first" r:id="rId90"/>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Picture"/>
        <w:rPr/>
      </w:pPr>
      <w:r>
        <w:rPr/>
        <w:drawing>
          <wp:inline distT="0" distB="0" distL="0" distR="0">
            <wp:extent cx="4587875" cy="2148205"/>
            <wp:effectExtent l="0" t="0" r="0" b="0"/>
            <wp:docPr id="48"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4" descr="" title=""/>
                    <pic:cNvPicPr>
                      <a:picLocks noChangeAspect="1" noChangeArrowheads="1"/>
                    </pic:cNvPicPr>
                  </pic:nvPicPr>
                  <pic:blipFill>
                    <a:blip r:embed="rId86"/>
                    <a:srcRect l="-7" t="-15" r="-7" b="-15"/>
                    <a:stretch>
                      <a:fillRect/>
                    </a:stretch>
                  </pic:blipFill>
                  <pic:spPr bwMode="auto">
                    <a:xfrm>
                      <a:off x="0" y="0"/>
                      <a:ext cx="4587875" cy="2148205"/>
                    </a:xfrm>
                    <a:prstGeom prst="rect">
                      <a:avLst/>
                    </a:prstGeom>
                    <a:noFill/>
                  </pic:spPr>
                </pic:pic>
              </a:graphicData>
            </a:graphic>
          </wp:inline>
        </w:drawing>
      </w:r>
      <w:r>
        <w:rPr>
          <w:rFonts w:eastAsia="Arial"/>
        </w:rPr>
        <w:t xml:space="preserve"> </w:t>
      </w:r>
    </w:p>
    <w:p>
      <w:pPr>
        <w:pStyle w:val="Head1"/>
        <w:rPr/>
      </w:pPr>
      <w:bookmarkStart w:id="27" w:name="__RefHeading___Toc471702833"/>
      <w:bookmarkEnd w:id="27"/>
      <w:r>
        <w:rPr/>
        <w:t>Utilities</w:t>
      </w:r>
    </w:p>
    <w:p>
      <w:pPr>
        <w:pStyle w:val="Text"/>
        <w:rPr/>
      </w:pPr>
      <w:r>
        <w:rPr/>
        <w:t xml:space="preserve">Although there are a number of companies in the electric industry that are transforming themselves into New Economy Electrics most will remain primarily regulated utilities.  As highlighted earlier, we have identified 9 companies that we believe are ahead of the pack in the transformation process: two new entrants (AES, CPN) and seven investor owned utilities (D, EIX ,DUK ,NST ,REI ,PE , SO).  These seven IOU’s have a good chance of breaking out of the utility pack and expanding their multiples and investor base.  </w:t>
      </w:r>
    </w:p>
    <w:p>
      <w:pPr>
        <w:pStyle w:val="Head2"/>
        <w:rPr/>
      </w:pPr>
      <w:r>
        <w:rPr/>
        <w:t>What Will Happen To The Rest?</w:t>
      </w:r>
    </w:p>
    <w:p>
      <w:pPr>
        <w:pStyle w:val="Text"/>
        <w:rPr/>
      </w:pPr>
      <w:r>
        <w:rPr/>
        <w:t xml:space="preserve">Almost every company in the utility industry is changing their business practices and exploring new opportunities.  There are a number of companies (such as TXU, CMS Energy, DPL and FPL Group) that although good utility stories, may or may not develop into a New Economy Electric.  Will these companies and others like them acquire the knowledge base and skill sets, not to mention possess the assets and regulatory flexibility to completely transform?  The next few years will define what each company in the industry will evolve into. Since we believe in a winner-take-all scenario in this industry longer-term, for those that cannot completely transform themselves—and there should be many—consolidation and break-ups may be the end result.  </w:t>
      </w:r>
    </w:p>
    <w:p>
      <w:pPr>
        <w:pStyle w:val="Text"/>
        <w:rPr/>
      </w:pPr>
      <w:r>
        <w:rPr/>
        <w:t>In the mean time, there is nothing wrong with being a utility.  Whether the company is a New Economy Electric or a utility (electric or gas), the fundamentals of the industry continue to improve.  Utilities, like New Economy Electrics, are benefiting from the de-regulation/re-regulation of the industry.  At the same time with the help from the new high-tech world, utilities are improving their operations and adding services.  The generation market remains a seller’s market and consolidation is creating economies of scale.  Thus, if a company can put it all together, including successfully changing their corporate culture, they may be able to create superior value for the shareholder.  If not, management can either sell or break up the company.  Either way we see opportunities for investors, although our bias is towards consolidation and divestiture.</w:t>
      </w:r>
    </w:p>
    <w:p>
      <w:pPr>
        <w:pStyle w:val="Head2"/>
        <w:rPr/>
      </w:pPr>
      <w:r>
        <w:rPr/>
        <w:t>So Why Are The Fundamentals Improving For Utilities Too?</w:t>
      </w:r>
    </w:p>
    <w:p>
      <w:pPr>
        <w:pStyle w:val="Text"/>
        <w:rPr/>
      </w:pPr>
      <w:r>
        <w:rPr/>
        <w:t>Simply put, the transformation occurring in the industry is making it cheaper to generate, transmit or distribute a  kWh/therm of electricity/gas.  If regulators, through new innovative regulation/deregulation, allow utilities to keep the benefits for the shareholders, then both earnings growth and the quality of that growth should improve.  Unfortunately unlike the deregulated portion of the industry, at some point the regulators may decide to recapture some of the financial benefits for the ratepayers too.  This reality of being a regulated utility is what prevents many of these companies from taking on more growth characteristics like their New Economy Electric brothers.  However, as seen in the past with companies like Nisource in Indiana, DPL in Ohio or FPL Group in Florida, if the regulators leave you alone for a period of time, the EPS growth and quality of that growth/returns can increase.  So although we contend the way to play the electric industry is by owning the New Economy Electrics, there are some good stories in the utility group as well.</w:t>
      </w:r>
    </w:p>
    <w:p>
      <w:pPr>
        <w:pStyle w:val="Head2"/>
        <w:rPr/>
      </w:pPr>
      <w:r>
        <w:rPr/>
        <w:t>The New Utility</w:t>
      </w:r>
    </w:p>
    <w:p>
      <w:pPr>
        <w:pStyle w:val="Text"/>
        <w:rPr/>
      </w:pPr>
      <w:r>
        <w:rPr/>
        <w:t>As the industry transforms itself, so will electric and gas utilities.  As stated above the transformation can take on different characteristics, but at the end of the day the utility will be dependent on the regulators policies.  These policies will be an important factor in helping a management team decide which direction to head.  The second important factor is the companies/management’s skills sets.  Does the company have the tools and or scale longer-term to compete in the generation business? Or does management feel the better strategy is to remain a regulated utility.  Over the last few years we have seen companies like PECO, NSTAR, New England Electric and DPL Inc just to name a few, make these tough decisions.  These decisions really had to do with desire to remain a regulated monopoly for the most part or transform the company into something else such as a New Economy Electric.  In some cases like Massachusetts there was pressure put on the utilities by regulators/legislators to divest their generation assets.  While in Pennsylvania the utilities were allowed to do either and in fact they did with PECO remaining a full service provider and DQE selling there generation assets.</w:t>
      </w:r>
    </w:p>
    <w:p>
      <w:pPr>
        <w:pStyle w:val="Text"/>
        <w:rPr/>
      </w:pPr>
      <w:r>
        <w:rPr/>
        <w:t xml:space="preserve">Our belief is over the next 5-10years the industry will continue to consolidate and break itself up.  The industry will consist of Power Brokers/Generators which will take on New Economy characteristics and distributors that will benefit from the new economy but remain slower growing regulated entities.  Within the regulated portion of the business there could be a further break up of not just generation, but transmission as well as discussed in FERC’s recent order 2000.  It is apparent that the FERC has recognized that the relatively new competitive nature of the power markets requires a clearer separation of transmission operations from other market activities, while allowing RTOs incentives to operate their systems more efficiently. However, the FERC’s order does appear to promote a more innovative and non-traditional approach to transmission pricing thereby increasing the potential for substantially better economic returns on these assets. </w:t>
      </w:r>
    </w:p>
    <w:p>
      <w:pPr>
        <w:pStyle w:val="Text"/>
        <w:rPr/>
      </w:pPr>
      <w:r>
        <w:rPr/>
        <w:t>Thus, going forward we believe that there could be two primary types of regulated utilities.  Distribution companies regulated by the states and Transmission companies regulated by the FERC.  In both cases we would expect new innovative regulation that could deviate somewhat from the ratebase/rate of return type of structures.  However, in most cases returns could be capped reducing the long-term value of some of these companies.</w:t>
      </w:r>
    </w:p>
    <w:p>
      <w:pPr>
        <w:pStyle w:val="Head2"/>
        <w:rPr/>
      </w:pPr>
      <w:r>
        <w:rPr/>
        <w:t>Are Utilities Cheap?</w:t>
      </w:r>
    </w:p>
    <w:p>
      <w:pPr>
        <w:sectPr>
          <w:headerReference w:type="default" r:id="rId91"/>
          <w:headerReference w:type="first" r:id="rId92"/>
          <w:footerReference w:type="default" r:id="rId93"/>
          <w:footerReference w:type="first" r:id="rId94"/>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Text"/>
        <w:rPr/>
      </w:pPr>
      <w:r>
        <w:rPr/>
        <w:t>We have made a strong case on why investors should own New Economy Electrics, but should they own utilities.  The answer is maybe—compared with historical levels, electric utilities look undervalued based on most traditional measures such as relative P/E’s, EPS growth, yield spreads, price/book and average yield (see table xx).  They appear to be a real value play.  In addition the overall fundamentals and EPS outlook seem to be improving with a average three year EPS growth rate of around 7%.  Unfortunately thus far investors do not care.  The Philadelphia Electric Utility index was down 21% in 1999 while the NASDAQ was up 84%, the Dow Jones Industrial was up 25% and the S&amp;P 500 was up 20%.  Since 1991 the UTY is up 24% while the other indexes are up 1007%, 346% and 356% respectively.  Even at the low prices the group is currently trading at, combined with improving fundamentals, is this type of environment that investors want be overweight utilities?  Depends on ones view of the market and how it is valued.  If one believes the current market environment/ psychology is going to change, value investing will come back, investors are feeling more defensive and interest rates are going lower utilities over the next year are a good place to be.  The key is the change in the market environment/psychology.  If the current trends continue utilities may have a tough time recovering from there latest sell off.  In addition if you believe in EVA most utilities will not excite you yet.  We do not know what is going to happen over the next year in the market, but our hope is investors will look at some of the good things utilities are doing too.</w:t>
      </w:r>
    </w:p>
    <w:p>
      <w:pPr>
        <w:pStyle w:val="CameraReadyTableTitle"/>
        <w:rPr/>
      </w:pPr>
      <w:r>
        <w:rPr/>
        <w:t>Exhibit 27</w:t>
        <w:br/>
        <w:t>Credit Suisse First Boston Valuation Table (Based on 6.53% 30-Year Treasury Yield)</w:t>
      </w:r>
    </w:p>
    <w:p>
      <w:pPr>
        <w:sectPr>
          <w:headerReference w:type="default" r:id="rId96"/>
          <w:headerReference w:type="first" r:id="rId97"/>
          <w:footerReference w:type="default" r:id="rId98"/>
          <w:footerReference w:type="first" r:id="rId99"/>
          <w:footnotePr>
            <w:numFmt w:val="decimal"/>
          </w:footnotePr>
          <w:type w:val="nextPage"/>
          <w:pgSz w:orient="landscape" w:w="15840" w:h="12240"/>
          <w:pgMar w:left="1440" w:right="1195" w:gutter="0" w:header="547" w:top="1627" w:footer="360" w:bottom="1080"/>
          <w:pgNumType w:fmt="decimal"/>
          <w:formProt w:val="false"/>
          <w:textDirection w:val="lrTb"/>
          <w:docGrid w:type="default" w:linePitch="360" w:charSpace="0"/>
        </w:sectPr>
        <w:pStyle w:val="Text"/>
        <w:rPr/>
      </w:pPr>
      <w:r>
        <w:rPr/>
        <w:drawing>
          <wp:inline distT="0" distB="0" distL="0" distR="0">
            <wp:extent cx="8413750" cy="5373370"/>
            <wp:effectExtent l="0" t="0" r="0" b="0"/>
            <wp:docPr id="51"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5" descr="" title=""/>
                    <pic:cNvPicPr>
                      <a:picLocks noChangeAspect="1" noChangeArrowheads="1"/>
                    </pic:cNvPicPr>
                  </pic:nvPicPr>
                  <pic:blipFill>
                    <a:blip r:embed="rId95"/>
                    <a:srcRect l="-3" t="-4" r="-3" b="-4"/>
                    <a:stretch>
                      <a:fillRect/>
                    </a:stretch>
                  </pic:blipFill>
                  <pic:spPr bwMode="auto">
                    <a:xfrm>
                      <a:off x="0" y="0"/>
                      <a:ext cx="8413750" cy="5373370"/>
                    </a:xfrm>
                    <a:prstGeom prst="rect">
                      <a:avLst/>
                    </a:prstGeom>
                    <a:noFill/>
                  </pic:spPr>
                </pic:pic>
              </a:graphicData>
            </a:graphic>
          </wp:inline>
        </w:drawing>
      </w:r>
    </w:p>
    <w:p>
      <w:pPr>
        <w:pStyle w:val="Text"/>
        <w:rPr/>
      </w:pPr>
      <w:r>
        <w:rPr/>
      </w:r>
    </w:p>
    <w:p>
      <w:pPr>
        <w:pStyle w:val="CameraReadyTableTitle"/>
        <w:pBdr>
          <w:bottom w:val="single" w:sz="4" w:space="1" w:color="000000"/>
        </w:pBdr>
        <w:rPr>
          <w:sz w:val="24"/>
        </w:rPr>
      </w:pPr>
      <w:r>
        <w:rPr>
          <w:sz w:val="24"/>
        </w:rPr>
        <w:t>Appendix: Earnings Models</w:t>
      </w:r>
    </w:p>
    <w:p>
      <w:pPr>
        <w:pStyle w:val="CameraReadyTableTitle"/>
        <w:rPr>
          <w:sz w:val="24"/>
        </w:rPr>
      </w:pPr>
      <w:r>
        <w:rPr>
          <w:sz w:val="24"/>
        </w:rPr>
      </w:r>
    </w:p>
    <w:p>
      <w:pPr>
        <w:pStyle w:val="CameraReadyTableTitle"/>
        <w:rPr/>
      </w:pPr>
      <w:r>
        <w:rPr/>
        <w:t>Exhibit 28</w:t>
        <w:br/>
        <w:t>PECO Energy Income Statement</w:t>
      </w:r>
    </w:p>
    <w:p>
      <w:pPr>
        <w:pStyle w:val="CameraReadyTableSubtitle"/>
        <w:rPr/>
      </w:pPr>
      <w:r>
        <w:rPr/>
        <w:t>In millions, except per share data</w:t>
      </w:r>
    </w:p>
    <w:p>
      <w:pPr>
        <w:pStyle w:val="Picture"/>
        <w:rPr/>
      </w:pPr>
      <w:r>
        <w:rPr/>
        <w:drawing>
          <wp:inline distT="0" distB="0" distL="0" distR="0">
            <wp:extent cx="6095365" cy="6358255"/>
            <wp:effectExtent l="0" t="0" r="0" b="0"/>
            <wp:docPr id="53"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6" descr="" title=""/>
                    <pic:cNvPicPr>
                      <a:picLocks noChangeAspect="1" noChangeArrowheads="1"/>
                    </pic:cNvPicPr>
                  </pic:nvPicPr>
                  <pic:blipFill>
                    <a:blip r:embed="rId100"/>
                    <a:srcRect l="-6" t="-6" r="-6" b="-6"/>
                    <a:stretch>
                      <a:fillRect/>
                    </a:stretch>
                  </pic:blipFill>
                  <pic:spPr bwMode="auto">
                    <a:xfrm>
                      <a:off x="0" y="0"/>
                      <a:ext cx="6095365" cy="6358255"/>
                    </a:xfrm>
                    <a:prstGeom prst="rect">
                      <a:avLst/>
                    </a:prstGeom>
                    <a:noFill/>
                  </pic:spPr>
                </pic:pic>
              </a:graphicData>
            </a:graphic>
          </wp:inline>
        </w:drawing>
      </w:r>
    </w:p>
    <w:p>
      <w:pPr>
        <w:sectPr>
          <w:headerReference w:type="default" r:id="rId101"/>
          <w:headerReference w:type="first" r:id="rId102"/>
          <w:footerReference w:type="default" r:id="rId103"/>
          <w:footerReference w:type="first" r:id="rId104"/>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Picture"/>
        <w:jc w:val="both"/>
        <w:rPr>
          <w:i/>
          <w:i/>
        </w:rPr>
      </w:pPr>
      <w:r>
        <w:rPr>
          <w:i/>
        </w:rPr>
        <w:t xml:space="preserve">Note:  Estimates represent stand-alone PECO forecasts, and do not reflect the impact of the pending Unicom merger. </w:t>
      </w:r>
    </w:p>
    <w:p>
      <w:pPr>
        <w:pStyle w:val="CameraReadyTableTitle"/>
        <w:rPr/>
      </w:pPr>
      <w:r>
        <w:rPr/>
        <w:t>Exhibit 29</w:t>
        <w:br/>
        <w:t>Duke Energy Income Statment</w:t>
      </w:r>
    </w:p>
    <w:p>
      <w:pPr>
        <w:pStyle w:val="CameraReadyTableSubtitle"/>
        <w:rPr/>
      </w:pPr>
      <w:r>
        <w:rPr/>
        <w:t>In millions, except per share data</w:t>
      </w:r>
    </w:p>
    <w:p>
      <w:pPr>
        <w:sectPr>
          <w:headerReference w:type="default" r:id="rId106"/>
          <w:headerReference w:type="first" r:id="rId107"/>
          <w:footerReference w:type="default" r:id="rId108"/>
          <w:footerReference w:type="first" r:id="rId109"/>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Picture"/>
        <w:rPr/>
      </w:pPr>
      <w:r>
        <w:rPr/>
        <w:drawing>
          <wp:inline distT="0" distB="0" distL="0" distR="0">
            <wp:extent cx="6034405" cy="7747635"/>
            <wp:effectExtent l="0" t="0" r="0" b="0"/>
            <wp:docPr id="55"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7" descr="" title=""/>
                    <pic:cNvPicPr>
                      <a:picLocks noChangeAspect="1" noChangeArrowheads="1"/>
                    </pic:cNvPicPr>
                  </pic:nvPicPr>
                  <pic:blipFill>
                    <a:blip r:embed="rId105"/>
                    <a:srcRect l="-6" t="-4" r="-6" b="-4"/>
                    <a:stretch>
                      <a:fillRect/>
                    </a:stretch>
                  </pic:blipFill>
                  <pic:spPr bwMode="auto">
                    <a:xfrm>
                      <a:off x="0" y="0"/>
                      <a:ext cx="6034405" cy="7747635"/>
                    </a:xfrm>
                    <a:prstGeom prst="rect">
                      <a:avLst/>
                    </a:prstGeom>
                    <a:noFill/>
                  </pic:spPr>
                </pic:pic>
              </a:graphicData>
            </a:graphic>
          </wp:inline>
        </w:drawing>
      </w:r>
    </w:p>
    <w:p>
      <w:pPr>
        <w:pStyle w:val="CameraReadyTableTitle"/>
        <w:rPr/>
      </w:pPr>
      <w:r>
        <w:rPr/>
        <w:t>Exhibit 30</w:t>
        <w:br/>
        <w:t>Edison International EPS Breakdown by Segment</w:t>
      </w:r>
    </w:p>
    <w:p>
      <w:pPr>
        <w:pStyle w:val="Picture"/>
        <w:rPr/>
      </w:pPr>
      <w:r>
        <w:rPr/>
        <w:drawing>
          <wp:inline distT="0" distB="0" distL="0" distR="0">
            <wp:extent cx="6094730" cy="1160145"/>
            <wp:effectExtent l="0" t="0" r="0" b="0"/>
            <wp:docPr id="57"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8" descr="" title=""/>
                    <pic:cNvPicPr>
                      <a:picLocks noChangeAspect="1" noChangeArrowheads="1"/>
                    </pic:cNvPicPr>
                  </pic:nvPicPr>
                  <pic:blipFill>
                    <a:blip r:embed="rId110"/>
                    <a:srcRect l="-6" t="-30" r="-6" b="-30"/>
                    <a:stretch>
                      <a:fillRect/>
                    </a:stretch>
                  </pic:blipFill>
                  <pic:spPr bwMode="auto">
                    <a:xfrm>
                      <a:off x="0" y="0"/>
                      <a:ext cx="6094730" cy="1160145"/>
                    </a:xfrm>
                    <a:prstGeom prst="rect">
                      <a:avLst/>
                    </a:prstGeom>
                    <a:noFill/>
                  </pic:spPr>
                </pic:pic>
              </a:graphicData>
            </a:graphic>
          </wp:inline>
        </w:drawing>
      </w:r>
      <w:r>
        <w:rPr/>
        <w:br/>
      </w:r>
    </w:p>
    <w:p>
      <w:pPr>
        <w:pStyle w:val="CameraReadyTableTitle"/>
        <w:rPr/>
      </w:pPr>
      <w:r>
        <w:rPr/>
        <w:t>Exhibit 31</w:t>
        <w:br/>
        <w:t>Southern California Edison Income Statement</w:t>
      </w:r>
    </w:p>
    <w:p>
      <w:pPr>
        <w:pStyle w:val="CameraReadyTableSubtitle"/>
        <w:rPr/>
      </w:pPr>
      <w:r>
        <w:rPr/>
        <w:t>In millions, except per share data</w:t>
      </w:r>
    </w:p>
    <w:p>
      <w:pPr>
        <w:sectPr>
          <w:headerReference w:type="default" r:id="rId112"/>
          <w:headerReference w:type="first" r:id="rId113"/>
          <w:footerReference w:type="default" r:id="rId114"/>
          <w:footerReference w:type="first" r:id="rId115"/>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drawing>
          <wp:inline distT="0" distB="0" distL="0" distR="0">
            <wp:extent cx="6098540" cy="6184265"/>
            <wp:effectExtent l="0" t="0" r="0" b="0"/>
            <wp:docPr id="58"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9" descr="" title=""/>
                    <pic:cNvPicPr>
                      <a:picLocks noChangeAspect="1" noChangeArrowheads="1"/>
                    </pic:cNvPicPr>
                  </pic:nvPicPr>
                  <pic:blipFill>
                    <a:blip r:embed="rId111"/>
                    <a:srcRect l="-5" t="-5" r="-5" b="-5"/>
                    <a:stretch>
                      <a:fillRect/>
                    </a:stretch>
                  </pic:blipFill>
                  <pic:spPr bwMode="auto">
                    <a:xfrm>
                      <a:off x="0" y="0"/>
                      <a:ext cx="6098540" cy="6184265"/>
                    </a:xfrm>
                    <a:prstGeom prst="rect">
                      <a:avLst/>
                    </a:prstGeom>
                    <a:noFill/>
                  </pic:spPr>
                </pic:pic>
              </a:graphicData>
            </a:graphic>
          </wp:inline>
        </w:drawing>
      </w:r>
    </w:p>
    <w:p>
      <w:pPr>
        <w:pStyle w:val="CameraReadyTableTitle"/>
        <w:rPr/>
      </w:pPr>
      <w:r>
        <w:rPr/>
        <w:t>Exhibit 32</w:t>
        <w:br/>
        <w:t>Southern Company Income Statement</w:t>
      </w:r>
    </w:p>
    <w:p>
      <w:pPr>
        <w:pStyle w:val="CameraReadyTableSubtitle"/>
        <w:rPr/>
      </w:pPr>
      <w:r>
        <w:rPr/>
        <w:t>In millions, except per share data</w:t>
      </w:r>
    </w:p>
    <w:p>
      <w:pPr>
        <w:pStyle w:val="Picture"/>
        <w:rPr/>
      </w:pPr>
      <w:r>
        <w:rPr/>
        <w:drawing>
          <wp:inline distT="0" distB="0" distL="0" distR="0">
            <wp:extent cx="6036945" cy="5323205"/>
            <wp:effectExtent l="0" t="0" r="0" b="0"/>
            <wp:docPr id="60"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0" descr="" title=""/>
                    <pic:cNvPicPr>
                      <a:picLocks noChangeAspect="1" noChangeArrowheads="1"/>
                    </pic:cNvPicPr>
                  </pic:nvPicPr>
                  <pic:blipFill>
                    <a:blip r:embed="rId116"/>
                    <a:srcRect l="-7" t="-7" r="-7" b="-7"/>
                    <a:stretch>
                      <a:fillRect/>
                    </a:stretch>
                  </pic:blipFill>
                  <pic:spPr bwMode="auto">
                    <a:xfrm>
                      <a:off x="0" y="0"/>
                      <a:ext cx="6036945" cy="5323205"/>
                    </a:xfrm>
                    <a:prstGeom prst="rect">
                      <a:avLst/>
                    </a:prstGeom>
                    <a:noFill/>
                  </pic:spPr>
                </pic:pic>
              </a:graphicData>
            </a:graphic>
          </wp:inline>
        </w:drawing>
      </w:r>
    </w:p>
    <w:p>
      <w:pPr>
        <w:sectPr>
          <w:headerReference w:type="default" r:id="rId117"/>
          <w:headerReference w:type="first" r:id="rId118"/>
          <w:footerReference w:type="default" r:id="rId119"/>
          <w:footerReference w:type="first" r:id="rId120"/>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33</w:t>
        <w:br/>
        <w:t>Dominion Resources Consolidated Income Statement</w:t>
      </w:r>
    </w:p>
    <w:p>
      <w:pPr>
        <w:pStyle w:val="CameraReadyTableSubtitle"/>
        <w:rPr/>
      </w:pPr>
      <w:r>
        <w:rPr/>
        <w:t>In millions, except per share data</w:t>
      </w:r>
    </w:p>
    <w:p>
      <w:pPr>
        <w:pStyle w:val="Picture"/>
        <w:jc w:val="start"/>
        <w:rPr/>
      </w:pPr>
      <w:r>
        <w:rPr/>
        <w:drawing>
          <wp:inline distT="0" distB="0" distL="0" distR="0">
            <wp:extent cx="5941695" cy="7560310"/>
            <wp:effectExtent l="0" t="0" r="0" b="0"/>
            <wp:docPr id="62"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1" descr="" title=""/>
                    <pic:cNvPicPr>
                      <a:picLocks noChangeAspect="1" noChangeArrowheads="1"/>
                    </pic:cNvPicPr>
                  </pic:nvPicPr>
                  <pic:blipFill>
                    <a:blip r:embed="rId121"/>
                    <a:srcRect l="-7" t="-5" r="-7" b="-5"/>
                    <a:stretch>
                      <a:fillRect/>
                    </a:stretch>
                  </pic:blipFill>
                  <pic:spPr bwMode="auto">
                    <a:xfrm>
                      <a:off x="0" y="0"/>
                      <a:ext cx="5941695" cy="7560310"/>
                    </a:xfrm>
                    <a:prstGeom prst="rect">
                      <a:avLst/>
                    </a:prstGeom>
                    <a:noFill/>
                  </pic:spPr>
                </pic:pic>
              </a:graphicData>
            </a:graphic>
          </wp:inline>
        </w:drawing>
      </w:r>
    </w:p>
    <w:p>
      <w:pPr>
        <w:sectPr>
          <w:headerReference w:type="default" r:id="rId122"/>
          <w:headerReference w:type="first" r:id="rId123"/>
          <w:footerReference w:type="default" r:id="rId124"/>
          <w:footerReference w:type="first" r:id="rId125"/>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34</w:t>
        <w:br/>
        <w:t>Dominion Resources: Virginia Power Income Statement</w:t>
      </w:r>
    </w:p>
    <w:p>
      <w:pPr>
        <w:pStyle w:val="CameraReadyTableSubtitle"/>
        <w:rPr/>
      </w:pPr>
      <w:r>
        <w:rPr/>
        <w:t>In millions, except per share data</w:t>
      </w:r>
    </w:p>
    <w:p>
      <w:pPr>
        <w:pStyle w:val="Picture"/>
        <w:jc w:val="start"/>
        <w:rPr/>
      </w:pPr>
      <w:r>
        <w:rPr/>
        <w:drawing>
          <wp:inline distT="0" distB="0" distL="0" distR="0">
            <wp:extent cx="6034405" cy="6854825"/>
            <wp:effectExtent l="0" t="0" r="0" b="0"/>
            <wp:docPr id="64"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2" descr="" title=""/>
                    <pic:cNvPicPr>
                      <a:picLocks noChangeAspect="1" noChangeArrowheads="1"/>
                    </pic:cNvPicPr>
                  </pic:nvPicPr>
                  <pic:blipFill>
                    <a:blip r:embed="rId126"/>
                    <a:srcRect l="-7" t="-5" r="-7" b="-5"/>
                    <a:stretch>
                      <a:fillRect/>
                    </a:stretch>
                  </pic:blipFill>
                  <pic:spPr bwMode="auto">
                    <a:xfrm>
                      <a:off x="0" y="0"/>
                      <a:ext cx="6034405" cy="6854825"/>
                    </a:xfrm>
                    <a:prstGeom prst="rect">
                      <a:avLst/>
                    </a:prstGeom>
                    <a:noFill/>
                  </pic:spPr>
                </pic:pic>
              </a:graphicData>
            </a:graphic>
          </wp:inline>
        </w:drawing>
      </w:r>
    </w:p>
    <w:p>
      <w:pPr>
        <w:sectPr>
          <w:headerReference w:type="default" r:id="rId127"/>
          <w:headerReference w:type="first" r:id="rId128"/>
          <w:footerReference w:type="default" r:id="rId129"/>
          <w:footerReference w:type="first" r:id="rId130"/>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35</w:t>
        <w:br/>
        <w:t>Dominion Resources: Diversified Income Statement</w:t>
      </w:r>
    </w:p>
    <w:p>
      <w:pPr>
        <w:pStyle w:val="CameraReadyTableSubtitle"/>
        <w:rPr/>
      </w:pPr>
      <w:r>
        <w:rPr/>
        <w:t>Combined E&amp;P, Dominion Capital, and Dominion Energy</w:t>
      </w:r>
    </w:p>
    <w:p>
      <w:pPr>
        <w:pStyle w:val="Picture"/>
        <w:jc w:val="start"/>
        <w:rPr/>
      </w:pPr>
      <w:r>
        <w:rPr/>
        <w:drawing>
          <wp:inline distT="0" distB="0" distL="0" distR="0">
            <wp:extent cx="6034405" cy="6559550"/>
            <wp:effectExtent l="0" t="0" r="0" b="0"/>
            <wp:docPr id="66"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3" descr="" title=""/>
                    <pic:cNvPicPr>
                      <a:picLocks noChangeAspect="1" noChangeArrowheads="1"/>
                    </pic:cNvPicPr>
                  </pic:nvPicPr>
                  <pic:blipFill>
                    <a:blip r:embed="rId131"/>
                    <a:srcRect l="-7" t="-5" r="-7" b="-5"/>
                    <a:stretch>
                      <a:fillRect/>
                    </a:stretch>
                  </pic:blipFill>
                  <pic:spPr bwMode="auto">
                    <a:xfrm>
                      <a:off x="0" y="0"/>
                      <a:ext cx="6034405" cy="6559550"/>
                    </a:xfrm>
                    <a:prstGeom prst="rect">
                      <a:avLst/>
                    </a:prstGeom>
                    <a:noFill/>
                  </pic:spPr>
                </pic:pic>
              </a:graphicData>
            </a:graphic>
          </wp:inline>
        </w:drawing>
      </w:r>
    </w:p>
    <w:p>
      <w:pPr>
        <w:pStyle w:val="Text"/>
        <w:rPr/>
      </w:pPr>
      <w:r>
        <w:rPr/>
      </w:r>
    </w:p>
    <w:p>
      <w:pPr>
        <w:sectPr>
          <w:headerReference w:type="default" r:id="rId132"/>
          <w:headerReference w:type="first" r:id="rId133"/>
          <w:footerReference w:type="default" r:id="rId134"/>
          <w:footerReference w:type="first" r:id="rId135"/>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36</w:t>
        <w:br/>
        <w:t>Reliant Energy Income Statement</w:t>
      </w:r>
    </w:p>
    <w:p>
      <w:pPr>
        <w:pStyle w:val="CameraReadyTableSubtitle"/>
        <w:rPr/>
      </w:pPr>
      <w:r>
        <w:rPr/>
        <w:t>In millions, except per share data</w:t>
      </w:r>
    </w:p>
    <w:p>
      <w:pPr>
        <w:pStyle w:val="Picture"/>
        <w:rPr/>
      </w:pPr>
      <w:r>
        <w:rPr/>
        <w:drawing>
          <wp:inline distT="0" distB="0" distL="0" distR="0">
            <wp:extent cx="6035675" cy="7660005"/>
            <wp:effectExtent l="0" t="0" r="0" b="0"/>
            <wp:docPr id="68"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4" descr="" title=""/>
                    <pic:cNvPicPr>
                      <a:picLocks noChangeAspect="1" noChangeArrowheads="1"/>
                    </pic:cNvPicPr>
                  </pic:nvPicPr>
                  <pic:blipFill>
                    <a:blip r:embed="rId136"/>
                    <a:srcRect l="-8" t="-4" r="-8" b="-4"/>
                    <a:stretch>
                      <a:fillRect/>
                    </a:stretch>
                  </pic:blipFill>
                  <pic:spPr bwMode="auto">
                    <a:xfrm>
                      <a:off x="0" y="0"/>
                      <a:ext cx="6035675" cy="7660005"/>
                    </a:xfrm>
                    <a:prstGeom prst="rect">
                      <a:avLst/>
                    </a:prstGeom>
                    <a:noFill/>
                  </pic:spPr>
                </pic:pic>
              </a:graphicData>
            </a:graphic>
          </wp:inline>
        </w:drawing>
      </w:r>
    </w:p>
    <w:p>
      <w:pPr>
        <w:sectPr>
          <w:headerReference w:type="default" r:id="rId137"/>
          <w:headerReference w:type="first" r:id="rId138"/>
          <w:footerReference w:type="default" r:id="rId139"/>
          <w:footerReference w:type="first" r:id="rId140"/>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37</w:t>
        <w:br/>
        <w:t>Reliant Energy – Regulated Electric &amp; Gas Operations Income Statement</w:t>
      </w:r>
    </w:p>
    <w:p>
      <w:pPr>
        <w:pStyle w:val="CameraReadyTableSubtitle"/>
        <w:rPr/>
      </w:pPr>
      <w:r>
        <w:rPr/>
        <w:t>In millions, except per share data</w:t>
      </w:r>
    </w:p>
    <w:p>
      <w:pPr>
        <w:pStyle w:val="Picture"/>
        <w:rPr/>
      </w:pPr>
      <w:r>
        <w:rPr/>
        <w:drawing>
          <wp:inline distT="0" distB="0" distL="0" distR="0">
            <wp:extent cx="6124575" cy="7684135"/>
            <wp:effectExtent l="0" t="0" r="0" b="0"/>
            <wp:docPr id="70"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5" descr="" title=""/>
                    <pic:cNvPicPr>
                      <a:picLocks noChangeAspect="1" noChangeArrowheads="1"/>
                    </pic:cNvPicPr>
                  </pic:nvPicPr>
                  <pic:blipFill>
                    <a:blip r:embed="rId141"/>
                    <a:srcRect l="-8" t="-5" r="-8" b="-5"/>
                    <a:stretch>
                      <a:fillRect/>
                    </a:stretch>
                  </pic:blipFill>
                  <pic:spPr bwMode="auto">
                    <a:xfrm>
                      <a:off x="0" y="0"/>
                      <a:ext cx="6124575" cy="7684135"/>
                    </a:xfrm>
                    <a:prstGeom prst="rect">
                      <a:avLst/>
                    </a:prstGeom>
                    <a:noFill/>
                  </pic:spPr>
                </pic:pic>
              </a:graphicData>
            </a:graphic>
          </wp:inline>
        </w:drawing>
      </w:r>
    </w:p>
    <w:p>
      <w:pPr>
        <w:sectPr>
          <w:headerReference w:type="default" r:id="rId142"/>
          <w:headerReference w:type="first" r:id="rId143"/>
          <w:footerReference w:type="default" r:id="rId144"/>
          <w:footerReference w:type="first" r:id="rId145"/>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38</w:t>
        <w:br/>
        <w:t>NSTAR Income Statement</w:t>
      </w:r>
    </w:p>
    <w:p>
      <w:pPr>
        <w:pStyle w:val="CameraReadyTableSubtitle"/>
        <w:rPr/>
      </w:pPr>
      <w:r>
        <w:rPr/>
        <w:t>In millions, except per share data</w:t>
      </w:r>
    </w:p>
    <w:p>
      <w:pPr>
        <w:pStyle w:val="Picture"/>
        <w:rPr/>
      </w:pPr>
      <w:r>
        <w:rPr/>
        <w:drawing>
          <wp:inline distT="0" distB="0" distL="0" distR="0">
            <wp:extent cx="6111240" cy="5387340"/>
            <wp:effectExtent l="0" t="0" r="0" b="0"/>
            <wp:docPr id="72"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6" descr="" title=""/>
                    <pic:cNvPicPr>
                      <a:picLocks noChangeAspect="1" noChangeArrowheads="1"/>
                    </pic:cNvPicPr>
                  </pic:nvPicPr>
                  <pic:blipFill>
                    <a:blip r:embed="rId146"/>
                    <a:srcRect l="-6" t="-7" r="-6" b="-7"/>
                    <a:stretch>
                      <a:fillRect/>
                    </a:stretch>
                  </pic:blipFill>
                  <pic:spPr bwMode="auto">
                    <a:xfrm>
                      <a:off x="0" y="0"/>
                      <a:ext cx="6111240" cy="5387340"/>
                    </a:xfrm>
                    <a:prstGeom prst="rect">
                      <a:avLst/>
                    </a:prstGeom>
                    <a:noFill/>
                  </pic:spPr>
                </pic:pic>
              </a:graphicData>
            </a:graphic>
          </wp:inline>
        </w:drawing>
      </w:r>
    </w:p>
    <w:p>
      <w:pPr>
        <w:sectPr>
          <w:headerReference w:type="default" r:id="rId147"/>
          <w:headerReference w:type="first" r:id="rId148"/>
          <w:footerReference w:type="default" r:id="rId149"/>
          <w:footerReference w:type="first" r:id="rId150"/>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rPr/>
      </w:pPr>
      <w:r>
        <w:rPr/>
        <w:t>Exhibit 39</w:t>
        <w:br/>
        <w:t>AES Corp. Income Statement</w:t>
      </w:r>
    </w:p>
    <w:p>
      <w:pPr>
        <w:pStyle w:val="CameraReadyTableSubtitle"/>
        <w:rPr/>
      </w:pPr>
      <w:r>
        <w:rPr/>
        <w:t>In millions, except per share data</w:t>
      </w:r>
    </w:p>
    <w:p>
      <w:pPr>
        <w:pStyle w:val="Picture"/>
        <w:jc w:val="start"/>
        <w:rPr/>
      </w:pPr>
      <w:r>
        <w:rPr/>
        <w:drawing>
          <wp:inline distT="0" distB="0" distL="0" distR="0">
            <wp:extent cx="6032500" cy="5417820"/>
            <wp:effectExtent l="0" t="0" r="0" b="0"/>
            <wp:docPr id="74"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7" descr="" title=""/>
                    <pic:cNvPicPr>
                      <a:picLocks noChangeAspect="1" noChangeArrowheads="1"/>
                    </pic:cNvPicPr>
                  </pic:nvPicPr>
                  <pic:blipFill>
                    <a:blip r:embed="rId151"/>
                    <a:srcRect l="-7" t="-7" r="-7" b="-7"/>
                    <a:stretch>
                      <a:fillRect/>
                    </a:stretch>
                  </pic:blipFill>
                  <pic:spPr bwMode="auto">
                    <a:xfrm>
                      <a:off x="0" y="0"/>
                      <a:ext cx="6032500" cy="5417820"/>
                    </a:xfrm>
                    <a:prstGeom prst="rect">
                      <a:avLst/>
                    </a:prstGeom>
                    <a:noFill/>
                  </pic:spPr>
                </pic:pic>
              </a:graphicData>
            </a:graphic>
          </wp:inline>
        </w:drawing>
      </w:r>
    </w:p>
    <w:p>
      <w:pPr>
        <w:sectPr>
          <w:headerReference w:type="default" r:id="rId152"/>
          <w:headerReference w:type="first" r:id="rId153"/>
          <w:footerReference w:type="default" r:id="rId154"/>
          <w:footerReference w:type="first" r:id="rId155"/>
          <w:footnotePr>
            <w:numFmt w:val="decimal"/>
          </w:footnotePr>
          <w:type w:val="nextPage"/>
          <w:pgSz w:w="12240" w:h="15840"/>
          <w:pgMar w:left="1440" w:right="1195" w:gutter="0" w:header="547" w:top="1627" w:footer="360" w:bottom="1080"/>
          <w:pgNumType w:fmt="decimal"/>
          <w:formProt w:val="false"/>
          <w:textDirection w:val="lrTb"/>
          <w:docGrid w:type="default" w:linePitch="360" w:charSpace="0"/>
        </w:sectPr>
        <w:pStyle w:val="Text"/>
        <w:rPr/>
      </w:pPr>
      <w:r>
        <w:rPr/>
      </w:r>
    </w:p>
    <w:p>
      <w:pPr>
        <w:pStyle w:val="CameraReadyTableTitle"/>
        <w:pBdr>
          <w:bottom w:val="nil"/>
        </w:pBdr>
        <w:rPr/>
      </w:pPr>
      <w:r>
        <w:rPr/>
        <w:t>Exhibit 40</w:t>
        <w:br/>
        <w:t>Calpine Corp. Income Statement</w:t>
      </w:r>
    </w:p>
    <w:p>
      <w:pPr>
        <w:pStyle w:val="CameraReadyTableSubtitle"/>
        <w:rPr/>
      </w:pPr>
      <w:r>
        <w:rPr/>
        <w:t>In millions, except per share data</w:t>
      </w:r>
    </w:p>
    <w:p>
      <w:pPr>
        <w:sectPr>
          <w:headerReference w:type="default" r:id="rId157"/>
          <w:headerReference w:type="first" r:id="rId158"/>
          <w:footerReference w:type="default" r:id="rId159"/>
          <w:footerReference w:type="first" r:id="rId160"/>
          <w:footnotePr>
            <w:numFmt w:val="decimal"/>
          </w:footnotePr>
          <w:type w:val="nextPage"/>
          <w:pgSz w:orient="landscape" w:w="15840" w:h="12240"/>
          <w:pgMar w:left="1440" w:right="1195" w:gutter="0" w:header="547" w:top="1627" w:footer="360" w:bottom="1080"/>
          <w:pgNumType w:fmt="decimal"/>
          <w:formProt w:val="false"/>
          <w:textDirection w:val="lrTb"/>
          <w:docGrid w:type="default" w:linePitch="360" w:charSpace="0"/>
        </w:sectPr>
        <w:pStyle w:val="Text"/>
        <w:rPr/>
      </w:pPr>
      <w:r>
        <w:rPr/>
        <w:drawing>
          <wp:inline distT="0" distB="0" distL="0" distR="0">
            <wp:extent cx="8409305" cy="5369560"/>
            <wp:effectExtent l="0" t="0" r="0" b="0"/>
            <wp:docPr id="76"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8" descr="" title=""/>
                    <pic:cNvPicPr>
                      <a:picLocks noChangeAspect="1" noChangeArrowheads="1"/>
                    </pic:cNvPicPr>
                  </pic:nvPicPr>
                  <pic:blipFill>
                    <a:blip r:embed="rId156"/>
                    <a:srcRect l="-4" t="-5" r="-4" b="-5"/>
                    <a:stretch>
                      <a:fillRect/>
                    </a:stretch>
                  </pic:blipFill>
                  <pic:spPr bwMode="auto">
                    <a:xfrm>
                      <a:off x="0" y="0"/>
                      <a:ext cx="8409305" cy="5369560"/>
                    </a:xfrm>
                    <a:prstGeom prst="rect">
                      <a:avLst/>
                    </a:prstGeom>
                    <a:noFill/>
                  </pic:spPr>
                </pic:pic>
              </a:graphicData>
            </a:graphic>
          </wp:inline>
        </w:drawing>
      </w:r>
    </w:p>
    <w:p>
      <w:pPr>
        <w:pStyle w:val="Text"/>
        <w:rPr/>
      </w:pPr>
      <w:r>
        <w:rPr/>
      </w:r>
    </w:p>
    <w:p>
      <w:pPr>
        <w:pStyle w:val="NB"/>
        <w:rPr/>
      </w:pPr>
      <w:r>
        <w:rPr>
          <w:b/>
        </w:rPr>
        <w:t>N.B.:</w:t>
      </w:r>
      <w:r>
        <w:rPr/>
        <w:t xml:space="preserve"> CREDIT SUISSE FIRST BOSTON CORPORATION may have, within the last three years, served as a manager </w:t>
        <w:br/>
        <w:t xml:space="preserve">or co-manager of a public offering of securities for or makes a primary market in issues of any or all of the companies </w:t>
        <w:br/>
        <w:t>mentioned.</w:t>
      </w:r>
    </w:p>
    <w:p>
      <w:pPr>
        <w:pStyle w:val="Text"/>
        <w:rPr/>
      </w:pPr>
      <w:r>
        <w:rPr/>
      </w:r>
    </w:p>
    <w:p>
      <w:pPr>
        <w:sectPr>
          <w:headerReference w:type="default" r:id="rId161"/>
          <w:headerReference w:type="first" r:id="rId162"/>
          <w:footerReference w:type="default" r:id="rId163"/>
          <w:footerReference w:type="first" r:id="rId164"/>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Text"/>
        <w:rPr/>
      </w:pPr>
      <w:r>
        <w:rPr/>
      </w:r>
    </w:p>
    <w:p>
      <w:pPr>
        <w:pStyle w:val="Text"/>
        <w:rPr/>
      </w:pPr>
      <w:r>
        <w:rPr/>
      </w:r>
    </w:p>
    <w:p>
      <w:pPr>
        <w:pStyle w:val="Text"/>
        <w:rPr/>
      </w:pPr>
      <w:r>
        <w:rPr/>
      </w:r>
    </w:p>
    <w:p>
      <w:pPr>
        <w:pStyle w:val="Normal"/>
        <w:rPr/>
      </w:pPr>
      <w:r>
        <w:rPr/>
      </w:r>
    </w:p>
    <w:p>
      <w:pPr>
        <w:sectPr>
          <w:headerReference w:type="default" r:id="rId165"/>
          <w:headerReference w:type="first" r:id="rId166"/>
          <w:footerReference w:type="default" r:id="rId167"/>
          <w:footerReference w:type="first" r:id="rId168"/>
          <w:footnotePr>
            <w:numFmt w:val="decimal"/>
          </w:footnotePr>
          <w:type w:val="nextPage"/>
          <w:pgSz w:w="12240" w:h="15840"/>
          <w:pgMar w:left="3816" w:right="1195" w:gutter="0" w:header="547" w:top="1627" w:footer="360" w:bottom="1080"/>
          <w:pgNumType w:fmt="decimal"/>
          <w:formProt w:val="false"/>
          <w:textDirection w:val="lrTb"/>
          <w:docGrid w:type="default" w:linePitch="360" w:charSpace="0"/>
        </w:sectPr>
        <w:pStyle w:val="Normal"/>
        <w:rPr/>
      </w:pPr>
      <w:r>
        <w:rPr/>
      </w:r>
    </w:p>
    <w:p>
      <w:pPr>
        <w:pStyle w:val="Top"/>
        <w:rPr/>
      </w:pPr>
      <w:r>
        <w:rPr/>
      </w:r>
    </w:p>
    <w:p>
      <w:pPr>
        <w:pStyle w:val="LogoHead"/>
        <w:spacing w:before="1" w:after="0"/>
        <w:rPr/>
      </w:pPr>
      <w:r>
        <w:rPr/>
        <w:drawing>
          <wp:inline distT="0" distB="0" distL="0" distR="0">
            <wp:extent cx="1795780" cy="635000"/>
            <wp:effectExtent l="0" t="0" r="0" b="0"/>
            <wp:docPr id="80"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9" descr="" title=""/>
                    <pic:cNvPicPr>
                      <a:picLocks noChangeAspect="1" noChangeArrowheads="1"/>
                    </pic:cNvPicPr>
                  </pic:nvPicPr>
                  <pic:blipFill>
                    <a:blip r:embed="rId169"/>
                    <a:srcRect l="3760" t="-57" r="-19" b="-57"/>
                    <a:stretch>
                      <a:fillRect/>
                    </a:stretch>
                  </pic:blipFill>
                  <pic:spPr bwMode="auto">
                    <a:xfrm>
                      <a:off x="0" y="0"/>
                      <a:ext cx="1795780" cy="635000"/>
                    </a:xfrm>
                    <a:prstGeom prst="rect">
                      <a:avLst/>
                    </a:prstGeom>
                    <a:noFill/>
                  </pic:spPr>
                </pic:pic>
              </a:graphicData>
            </a:graphic>
          </wp:inline>
        </w:drawing>
      </w:r>
    </w:p>
    <w:p>
      <w:pPr>
        <w:pStyle w:val="Region2"/>
        <w:rPr/>
      </w:pPr>
      <w:r>
        <w:rPr/>
        <w:t>Americas</w:t>
      </w:r>
    </w:p>
    <w:p>
      <w:pPr>
        <w:pStyle w:val="Address"/>
        <w:rPr/>
      </w:pPr>
      <w:r>
        <w:rPr/>
        <w:t>Eleven Madison Avenue</w:t>
        <w:br/>
        <w:t>New York, NY  10010, U.S.A.</w:t>
        <w:br/>
        <w:t>1 212 325 2000</w:t>
      </w:r>
    </w:p>
    <w:p>
      <w:pPr>
        <w:pStyle w:val="Office"/>
        <w:rPr/>
      </w:pPr>
      <w:r>
        <w:rPr/>
        <w:t>Atlanta</w:t>
        <w:tab/>
        <w:t>1 404 656 9500</w:t>
        <w:tab/>
        <w:t>Pasadena</w:t>
        <w:tab/>
        <w:t>1 626 395 5100</w:t>
      </w:r>
    </w:p>
    <w:p>
      <w:pPr>
        <w:pStyle w:val="Office"/>
        <w:rPr/>
      </w:pPr>
      <w:r>
        <w:rPr/>
        <w:t>Boston</w:t>
        <w:tab/>
        <w:t>1 617 556 5500</w:t>
        <w:tab/>
        <w:t>Philadelphia</w:t>
        <w:tab/>
        <w:t>1 215 851 1000</w:t>
      </w:r>
    </w:p>
    <w:p>
      <w:pPr>
        <w:pStyle w:val="Office"/>
        <w:rPr/>
      </w:pPr>
      <w:r>
        <w:rPr/>
        <w:t>Buenos Aires</w:t>
        <w:tab/>
        <w:t>1 541 394 3100</w:t>
        <w:tab/>
        <w:t>San Francisco</w:t>
        <w:tab/>
        <w:t>1 415 836 7600</w:t>
      </w:r>
    </w:p>
    <w:p>
      <w:pPr>
        <w:pStyle w:val="Office"/>
        <w:rPr/>
      </w:pPr>
      <w:r>
        <w:rPr/>
        <w:t>Chicago</w:t>
        <w:tab/>
        <w:t>1 312 750 3000</w:t>
        <w:tab/>
        <w:t>São Paulo</w:t>
        <w:tab/>
        <w:t>55 11 822 4862</w:t>
      </w:r>
    </w:p>
    <w:p>
      <w:pPr>
        <w:pStyle w:val="Office"/>
        <w:rPr/>
      </w:pPr>
      <w:r>
        <w:rPr/>
        <w:t>Houston</w:t>
        <w:tab/>
        <w:t>1 713 220 6700</w:t>
        <w:tab/>
        <w:t>Toronto</w:t>
        <w:tab/>
        <w:t>1 416 352 4500</w:t>
      </w:r>
    </w:p>
    <w:p>
      <w:pPr>
        <w:pStyle w:val="Office"/>
        <w:rPr/>
      </w:pPr>
      <w:r>
        <w:rPr/>
        <w:t>Mexico City</w:t>
        <w:tab/>
        <w:t>1 525 202 6000</w:t>
      </w:r>
    </w:p>
    <w:p>
      <w:pPr>
        <w:pStyle w:val="Region2"/>
        <w:rPr/>
      </w:pPr>
      <w:r>
        <w:rPr/>
        <w:t>Europe</w:t>
      </w:r>
    </w:p>
    <w:p>
      <w:pPr>
        <w:pStyle w:val="Address"/>
        <w:rPr/>
      </w:pPr>
      <w:r>
        <w:rPr/>
        <w:t>One Cabot Square</w:t>
        <w:br/>
        <w:t>London E14 4QJ, England</w:t>
        <w:br/>
        <w:t>44 171 888 8888</w:t>
      </w:r>
    </w:p>
    <w:p>
      <w:pPr>
        <w:pStyle w:val="Office"/>
        <w:rPr/>
      </w:pPr>
      <w:r>
        <w:rPr/>
        <w:t>Amsterdam</w:t>
        <w:tab/>
        <w:t>31 20 575 4444</w:t>
        <w:tab/>
        <w:t>Paris</w:t>
        <w:tab/>
        <w:t>33 1 40 76 8888</w:t>
      </w:r>
    </w:p>
    <w:p>
      <w:pPr>
        <w:pStyle w:val="Office"/>
        <w:rPr/>
      </w:pPr>
      <w:r>
        <w:rPr/>
        <w:t>Budapest</w:t>
        <w:tab/>
        <w:t>36 1 202 2188</w:t>
        <w:tab/>
        <w:t>Prague</w:t>
        <w:tab/>
        <w:t>42 2 248 10937</w:t>
      </w:r>
    </w:p>
    <w:p>
      <w:pPr>
        <w:pStyle w:val="Office"/>
        <w:rPr/>
      </w:pPr>
      <w:r>
        <w:rPr/>
        <w:t>Frankfurt</w:t>
        <w:tab/>
        <w:t>49 69 75380</w:t>
        <w:tab/>
        <w:t>Vienna</w:t>
        <w:tab/>
        <w:t>43 1 512 3023</w:t>
      </w:r>
    </w:p>
    <w:p>
      <w:pPr>
        <w:pStyle w:val="Office"/>
        <w:rPr/>
      </w:pPr>
      <w:r>
        <w:rPr/>
        <w:t>Geneva</w:t>
        <w:tab/>
        <w:t>41 22 707 0130</w:t>
        <w:tab/>
        <w:t>Warsaw</w:t>
        <w:tab/>
        <w:t>48 22 695 0050</w:t>
      </w:r>
    </w:p>
    <w:p>
      <w:pPr>
        <w:pStyle w:val="Office"/>
        <w:rPr/>
      </w:pPr>
      <w:r>
        <w:rPr/>
        <w:t>Madrid</w:t>
        <w:tab/>
        <w:t>34 1 532 0303</w:t>
        <w:tab/>
        <w:t>Zug</w:t>
        <w:tab/>
        <w:t>41 41 726 1020</w:t>
      </w:r>
    </w:p>
    <w:p>
      <w:pPr>
        <w:pStyle w:val="Office"/>
        <w:rPr/>
      </w:pPr>
      <w:r>
        <w:rPr/>
        <w:t>Milan</w:t>
        <w:tab/>
        <w:t>39 2 7702 1</w:t>
        <w:tab/>
        <w:t>Zurich</w:t>
        <w:tab/>
        <w:t>41 1 335 7711</w:t>
      </w:r>
    </w:p>
    <w:p>
      <w:pPr>
        <w:pStyle w:val="Office"/>
        <w:rPr/>
      </w:pPr>
      <w:r>
        <w:rPr/>
        <w:t>Moscow</w:t>
        <w:tab/>
        <w:t>7 501 967 8200</w:t>
        <w:tab/>
        <w:tab/>
      </w:r>
    </w:p>
    <w:p>
      <w:pPr>
        <w:pStyle w:val="Region2"/>
        <w:rPr/>
      </w:pPr>
      <w:r>
        <w:rPr/>
        <w:t>Asia Pacific</w:t>
      </w:r>
    </w:p>
    <w:p>
      <w:pPr>
        <w:pStyle w:val="Address"/>
        <w:rPr/>
      </w:pPr>
      <w:r>
        <w:rPr/>
        <w:t>Three Exchange Square</w:t>
        <w:br/>
        <w:t>8 Connaught Place</w:t>
        <w:br/>
        <w:t>Central, Hong Kong</w:t>
        <w:br/>
        <w:t>852 2101 6000</w:t>
      </w:r>
    </w:p>
    <w:p>
      <w:pPr>
        <w:pStyle w:val="Office"/>
        <w:rPr/>
      </w:pPr>
      <w:r>
        <w:rPr/>
        <w:t>Auckland</w:t>
        <w:tab/>
        <w:t>64 9 302 5500</w:t>
        <w:tab/>
        <w:t>Shanghai</w:t>
        <w:tab/>
        <w:t>86 21 6219 0808</w:t>
      </w:r>
    </w:p>
    <w:p>
      <w:pPr>
        <w:pStyle w:val="Office"/>
        <w:rPr/>
      </w:pPr>
      <w:r>
        <w:rPr/>
        <w:t>Beijing</w:t>
        <w:tab/>
        <w:t>86 10 6410 6611</w:t>
        <w:tab/>
        <w:t>Singapore</w:t>
        <w:tab/>
        <w:t>65 538 6322</w:t>
      </w:r>
    </w:p>
    <w:p>
      <w:pPr>
        <w:pStyle w:val="Office"/>
        <w:rPr/>
      </w:pPr>
      <w:r>
        <w:rPr/>
        <w:t>Melbourne</w:t>
        <w:tab/>
        <w:t>61 3 9 280 1666</w:t>
        <w:tab/>
        <w:t>Sydney</w:t>
        <w:tab/>
        <w:t>61 2 9394 4400</w:t>
      </w:r>
    </w:p>
    <w:p>
      <w:pPr>
        <w:pStyle w:val="Office"/>
        <w:rPr/>
      </w:pPr>
      <w:r>
        <w:rPr/>
        <w:t>Mumbai</w:t>
        <w:tab/>
        <w:t>91 22 284 6888</w:t>
        <w:tab/>
        <w:t>Taipei</w:t>
        <w:tab/>
        <w:t>8862 2718 5919</w:t>
      </w:r>
    </w:p>
    <w:p>
      <w:pPr>
        <w:pStyle w:val="Office"/>
        <w:rPr/>
      </w:pPr>
      <w:r>
        <w:rPr/>
        <w:t>Osaka</w:t>
        <w:tab/>
        <w:t>81 6 243 0789</w:t>
        <w:tab/>
        <w:t>Tokyo</w:t>
        <w:tab/>
        <w:t>81 3 5404 9000</w:t>
      </w:r>
    </w:p>
    <w:p>
      <w:pPr>
        <w:pStyle w:val="Office"/>
        <w:rPr/>
      </w:pPr>
      <w:r>
        <w:rPr/>
        <w:t>Seoul</w:t>
        <w:tab/>
        <w:t>82 2 3707 3700</w:t>
        <w:tab/>
        <w:t>Wellington</w:t>
        <w:tab/>
        <w:t>64 4 474 4400</w:t>
      </w:r>
    </w:p>
    <w:sectPr>
      <w:headerReference w:type="default" r:id="rId170"/>
      <w:headerReference w:type="first" r:id="rId171"/>
      <w:footerReference w:type="default" r:id="rId172"/>
      <w:footerReference w:type="first" r:id="rId173"/>
      <w:footnotePr>
        <w:numFmt w:val="decimal"/>
      </w:footnotePr>
      <w:type w:val="nextPage"/>
      <w:pgSz w:w="12240" w:h="15840"/>
      <w:pgMar w:left="1584" w:right="1152" w:gutter="0" w:header="720" w:top="1166" w:footer="360" w:bottom="70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Liberation Sans">
    <w:altName w:val="Arial"/>
    <w:charset w:val="01" w:characterSet="utf-8"/>
    <w:family w:val="swiss"/>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12</w:t>
    </w:r>
    <w:r>
      <w:rPr/>
      <w:fldChar w:fldCharType="end"/>
    </w:r>
    <w:r>
      <w:rPr>
        <w:rFonts w:eastAsia="Arial"/>
      </w:rPr>
      <w:t xml:space="preserve"> </w:t>
    </w:r>
    <w: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19</w:t>
    </w:r>
    <w:r>
      <w:rPr/>
      <w:fldChar w:fldCharType="end"/>
    </w:r>
    <w:r>
      <w:rPr>
        <w:rFonts w:eastAsia="Arial"/>
      </w:rPr>
      <w:t xml:space="preserve"> </w:t>
    </w:r>
    <w:r>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26</w:t>
    </w:r>
    <w:r>
      <w:rPr/>
      <w:fldChar w:fldCharType="end"/>
    </w:r>
    <w:r>
      <w:rPr>
        <w:rFonts w:eastAsia="Arial"/>
      </w:rPr>
      <w:t xml:space="preserve"> </w:t>
    </w:r>
    <w:r>
      <w:rPr/>
      <w:t>–</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33</w:t>
    </w:r>
    <w:r>
      <w:rPr/>
      <w:fldChar w:fldCharType="end"/>
    </w:r>
    <w:r>
      <w:rPr>
        <w:rFonts w:eastAsia="Arial"/>
      </w:rPr>
      <w:t xml:space="preserve"> </w:t>
    </w:r>
    <w:r>
      <w:rPr/>
      <w: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36</w:t>
    </w:r>
    <w:r>
      <w:rPr/>
      <w:fldChar w:fldCharType="end"/>
    </w:r>
    <w:r>
      <w:rPr>
        <w:rFonts w:eastAsia="Arial"/>
      </w:rPr>
      <w:t xml:space="preserve"> </w:t>
    </w:r>
    <w:r>
      <w:rPr/>
      <w: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38</w:t>
    </w:r>
    <w:r>
      <w:rPr/>
      <w:fldChar w:fldCharType="end"/>
    </w:r>
    <w:r>
      <w:rPr>
        <w:rFonts w:eastAsia="Arial"/>
      </w:rPr>
      <w:t xml:space="preserve"> </w:t>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isclaimer"/>
      <w:tabs>
        <w:tab w:val="clear" w:pos="720"/>
        <w:tab w:val="right" w:pos="9540" w:leader="none"/>
      </w:tabs>
      <w:rPr/>
    </w:pPr>
    <w:r>
      <w:rPr/>
      <w:tab/>
    </w:r>
    <w:r>
      <w:rPr/>
      <w:fldChar w:fldCharType="begin"/>
    </w:r>
    <w:r>
      <w:rPr/>
      <w:instrText xml:space="preserve"> FILENAME </w:instrText>
    </w:r>
    <w:r>
      <w:rPr/>
      <w:fldChar w:fldCharType="separate"/>
    </w:r>
    <w:r>
      <w:rPr/>
      <w:t>outlook8.doc</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41</w:t>
    </w:r>
    <w:r>
      <w:rPr/>
      <w:fldChar w:fldCharType="end"/>
    </w:r>
    <w:r>
      <w:rPr>
        <w:rFonts w:eastAsia="Arial"/>
      </w:rPr>
      <w:t xml:space="preserve"> </w:t>
    </w:r>
    <w:r>
      <w:rPr/>
      <w: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45</w:t>
    </w:r>
    <w:r>
      <w:rPr/>
      <w:fldChar w:fldCharType="end"/>
    </w:r>
    <w:r>
      <w:rPr>
        <w:rFonts w:eastAsia="Arial"/>
      </w:rPr>
      <w:t xml:space="preserve"> </w:t>
    </w:r>
    <w:r>
      <w:rPr/>
      <w: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51</w:t>
    </w:r>
    <w:r>
      <w:rPr/>
      <w:fldChar w:fldCharType="end"/>
    </w:r>
    <w:r>
      <w:rPr>
        <w:rFonts w:eastAsia="Arial"/>
      </w:rPr>
      <w:t xml:space="preserve"> </w:t>
    </w:r>
    <w:r>
      <w:rPr/>
      <w: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55</w:t>
    </w:r>
    <w:r>
      <w:rPr/>
      <w:fldChar w:fldCharType="end"/>
    </w:r>
    <w:r>
      <w:rPr>
        <w:rFonts w:eastAsia="Arial"/>
      </w:rPr>
      <w:t xml:space="preserve"> </w:t>
    </w:r>
    <w:r>
      <w:rPr/>
      <w:t>–</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57</w:t>
    </w:r>
    <w:r>
      <w:rPr/>
      <w:fldChar w:fldCharType="end"/>
    </w:r>
    <w:r>
      <w:rPr>
        <w:rFonts w:eastAsia="Arial"/>
      </w:rPr>
      <w:t xml:space="preserve"> </w:t>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Fonts w:eastAsia="Arial"/>
      </w:rPr>
      <w:t xml:space="preserve"> </w:t>
    </w:r>
    <w:r>
      <w:rPr>
        <w:rStyle w:val="PageNumber"/>
      </w:rPr>
      <w:t>–</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58</w:t>
    </w:r>
    <w:r>
      <w:rPr/>
      <w:fldChar w:fldCharType="end"/>
    </w:r>
    <w:r>
      <w:rPr>
        <w:rFonts w:eastAsia="Arial"/>
      </w:rPr>
      <w:t xml:space="preserve"> </w:t>
    </w:r>
    <w:r>
      <w:rPr/>
      <w:t>–</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59</w:t>
    </w:r>
    <w:r>
      <w:rPr/>
      <w:fldChar w:fldCharType="end"/>
    </w:r>
    <w:r>
      <w:rPr>
        <w:rFonts w:eastAsia="Arial"/>
      </w:rPr>
      <w:t xml:space="preserve"> </w:t>
    </w:r>
    <w:r>
      <w:rPr/>
      <w:t>–</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60</w:t>
    </w:r>
    <w:r>
      <w:rPr/>
      <w:fldChar w:fldCharType="end"/>
    </w:r>
    <w:r>
      <w:rPr>
        <w:rFonts w:eastAsia="Arial"/>
      </w:rPr>
      <w:t xml:space="preserve"> </w:t>
    </w:r>
    <w:r>
      <w:rPr/>
      <w:t>–</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61</w:t>
    </w:r>
    <w:r>
      <w:rPr/>
      <w:fldChar w:fldCharType="end"/>
    </w:r>
    <w:r>
      <w:rPr>
        <w:rFonts w:eastAsia="Arial"/>
      </w:rPr>
      <w:t xml:space="preserve"> </w:t>
    </w:r>
    <w:r>
      <w:rPr/>
      <w:t>–</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62</w:t>
    </w:r>
    <w:r>
      <w:rPr/>
      <w:fldChar w:fldCharType="end"/>
    </w:r>
    <w:r>
      <w:rPr>
        <w:rFonts w:eastAsia="Arial"/>
      </w:rPr>
      <w:t xml:space="preserve"> </w:t>
    </w:r>
    <w: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63</w:t>
    </w:r>
    <w:r>
      <w:rPr/>
      <w:fldChar w:fldCharType="end"/>
    </w:r>
    <w:r>
      <w:rPr>
        <w:rFonts w:eastAsia="Arial"/>
      </w:rPr>
      <w:t xml:space="preserve"> </w:t>
    </w:r>
    <w:r>
      <w:rPr/>
      <w:t>–</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64</w:t>
    </w:r>
    <w:r>
      <w:rPr/>
      <w:fldChar w:fldCharType="end"/>
    </w:r>
    <w:r>
      <w:rPr>
        <w:rFonts w:eastAsia="Arial"/>
      </w:rPr>
      <w:t xml:space="preserve"> </w:t>
    </w:r>
    <w:r>
      <w:rPr/>
      <w:t>–</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65</w:t>
    </w:r>
    <w:r>
      <w:rPr/>
      <w:fldChar w:fldCharType="end"/>
    </w:r>
    <w:r>
      <w:rPr>
        <w:rFonts w:eastAsia="Arial"/>
      </w:rPr>
      <w:t xml:space="preserve"> </w:t>
    </w:r>
    <w:r>
      <w:rPr/>
      <w:t>–</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66</w:t>
    </w:r>
    <w:r>
      <w:rPr/>
      <w:fldChar w:fldCharType="end"/>
    </w:r>
    <w:r>
      <w:rPr>
        <w:rFonts w:eastAsia="Arial"/>
      </w:rPr>
      <w:t xml:space="preserve"> </w:t>
    </w:r>
    <w:r>
      <w:rPr/>
      <w:t>–</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67</w:t>
    </w:r>
    <w:r>
      <w:rPr/>
      <w:fldChar w:fldCharType="end"/>
    </w:r>
    <w:r>
      <w:rPr>
        <w:rFonts w:eastAsia="Arial"/>
      </w:rPr>
      <w:t xml:space="preserve"> </w:t>
    </w:r>
    <w: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14</w:t>
    </w:r>
    <w:r>
      <w:rPr/>
      <w:fldChar w:fldCharType="end"/>
    </w:r>
    <w:r>
      <w:rPr>
        <w:rFonts w:eastAsia="Arial"/>
      </w:rPr>
      <w:t xml:space="preserve"> </w:t>
    </w:r>
    <w:r>
      <w:rPr/>
      <w:t>–</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68</w:t>
    </w:r>
    <w:r>
      <w:rPr/>
      <w:fldChar w:fldCharType="end"/>
    </w:r>
    <w:r>
      <w:rPr>
        <w:rFonts w:eastAsia="Arial"/>
      </w:rPr>
      <w:t xml:space="preserve"> </w:t>
    </w:r>
    <w:r>
      <w:rPr/>
      <w:t>–</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69</w:t>
    </w:r>
    <w:r>
      <w:rPr/>
      <w:fldChar w:fldCharType="end"/>
    </w:r>
    <w:r>
      <w:rPr>
        <w:rFonts w:eastAsia="Arial"/>
      </w:rPr>
      <w:t xml:space="preserve"> </w:t>
    </w:r>
    <w:r>
      <w:rPr/>
      <w:t>–</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70</w:t>
    </w:r>
    <w:r>
      <w:rPr/>
      <w:fldChar w:fldCharType="end"/>
    </w:r>
    <w:r>
      <w:rPr>
        <w:rFonts w:eastAsia="Arial"/>
      </w:rPr>
      <w:t xml:space="preserve"> </w:t>
    </w:r>
    <w:r>
      <w:rPr/>
      <w:t>–</w: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71</w:t>
    </w:r>
    <w:r>
      <w:rPr/>
      <w:fldChar w:fldCharType="end"/>
    </w:r>
    <w:r>
      <w:rPr>
        <w:rFonts w:eastAsia="Arial"/>
      </w:rPr>
      <w:t xml:space="preserve"> </w:t>
    </w:r>
    <w:r>
      <w:rPr/>
      <w:t>–</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72</w:t>
    </w:r>
    <w:r>
      <w:rPr/>
      <w:fldChar w:fldCharType="end"/>
    </w:r>
    <w:r>
      <w:rPr>
        <w:rFonts w:eastAsia="Arial"/>
      </w:rPr>
      <w:t xml:space="preserve"> </w:t>
    </w:r>
    <w: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isclaimer"/>
      <w:rPr/>
    </w:pPr>
    <w:r>
      <w:rPr/>
      <w:t xml:space="preserve">Copyright </w:t>
    </w:r>
    <w:r>
      <w:rPr>
        <w:rFonts w:eastAsia="Symbol" w:cs="Symbol" w:ascii="Symbol" w:hAnsi="Symbol"/>
      </w:rPr>
      <w:sym w:font="Symbol" w:char="f0e3"/>
    </w:r>
    <w:r>
      <w:rPr/>
      <w:fldChar w:fldCharType="begin"/>
    </w:r>
    <w:r>
      <w:rPr/>
      <w:instrText xml:space="preserve"> CREATEDATE \@"yyyy" </w:instrText>
    </w:r>
    <w:r>
      <w:rPr/>
      <w:fldChar w:fldCharType="separate"/>
    </w:r>
    <w:r>
      <w:rPr/>
      <w:t>2000</w:t>
    </w:r>
    <w:r>
      <w:rPr/>
      <w:fldChar w:fldCharType="end"/>
    </w:r>
    <w:r>
      <w:rPr/>
      <w:t xml:space="preserve"> Credit Suisse First Boston Corporation </w:t>
    </w:r>
    <w:r>
      <w:rPr/>
      <w:fldChar w:fldCharType="begin"/>
    </w:r>
    <w:r>
      <w:rPr/>
      <w:instrText xml:space="preserve"> CREATEDATE \@"yyyy" </w:instrText>
    </w:r>
    <w:r>
      <w:rPr/>
      <w:fldChar w:fldCharType="separate"/>
    </w:r>
    <w:r>
      <w:rPr/>
      <w:t>2000</w:t>
    </w:r>
    <w:r>
      <w:rPr/>
      <w:fldChar w:fldCharType="end"/>
    </w:r>
    <w:r>
      <w:rPr/>
      <w:t>. All rights reserved</w:t>
    </w:r>
  </w:p>
  <w:p>
    <w:pPr>
      <w:pStyle w:val="Disclaimer"/>
      <w:rPr/>
    </w:pPr>
    <w:r>
      <w:rPr/>
      <w:t>This report is provided to you solely for informational purposes and does not constitute an offer or solicitation of an offer, or any advice or recommendation, to purchase any securities or other financial instruments and may not be construed as such.  This report may not be reproduced or redistributed to any other person, in whole or in part, without the prior written consent of the distributor listed below.  The information set forth herein has been obtained or derived from sources believed by Credit Suisse First Boston Corporation and its affiliates (“CSFB” or “the firm”) to be reliable, but CSFB does not make any representation or warranty, express or implied, as to its accuracy or completeness.</w:t>
    </w:r>
  </w:p>
  <w:p>
    <w:pPr>
      <w:pStyle w:val="Disclaimer"/>
      <w:rPr/>
    </w:pPr>
    <w:r>
      <w:rPr/>
      <w:t xml:space="preserve">Past performance should not be taken as an indication or guarantee of future performance, and no representation or warranty, express or implied is made regarding future performance.  Opinions and estimates may be changed without notice.  The firm, or one or more of its partners or employees, from time to time may have long or short positions in, or buy and sell and make markets in, any of the securities discussed herein.  The firm may underwrite or provide investment banking, credit and other financial services to any company or issuer of securities or financial instruments referred to herein.  If CSFB makes a market in any security, there can be no assurance that CSFB will continue to do so. Additional information is available upon request. </w:t>
    </w:r>
  </w:p>
  <w:p>
    <w:pPr>
      <w:pStyle w:val="Disclaimer"/>
      <w:rPr/>
    </w:pPr>
    <w:r>
      <w:rPr/>
      <w:t>CSFB may have issued other reports that are inconsistent with, and reach different conclusions from, the information presented herein.  Those reports reflect the different assumptions, views and analytical methods of the analysts who prepared them.</w:t>
    </w:r>
  </w:p>
  <w:p>
    <w:pPr>
      <w:pStyle w:val="Disclaimer"/>
      <w:tabs>
        <w:tab w:val="clear" w:pos="720"/>
        <w:tab w:val="right" w:pos="9450" w:leader="none"/>
      </w:tabs>
      <w:rPr/>
    </w:pPr>
    <w:r>
      <w:rPr/>
      <w:t xml:space="preserve">This report is being distributed in the United States by CSFB, and in Canada by Credit Suisse First Boston Securities Canada, Inc. (“CSFBSC”) with CSFB as mailing/delivery agent.  In jurisdictions where CSFB is not registered or licensed to trade in securities, any trade will be made only in accordance with applicable securities legislation which will vary from jurisdiction to jurisdiction and may require that the trade be made in accordance with applicable exemptions from registration or licensing requirements.  CSFBSC has approved the distribution of this memorandum.  Any U.S. customer wishing to effect a transaction in any security should do so only by contacting a representative at Credit Suisse First Boston Corporation, Eleven Madison Avenue, New York, NY  10010  (212) 325-2000. </w:t>
      <w:tab/>
    </w:r>
    <w:r>
      <w:rPr/>
      <w:fldChar w:fldCharType="begin"/>
    </w:r>
    <w:r>
      <w:rPr/>
      <w:instrText xml:space="preserve"> FILENAME </w:instrText>
    </w:r>
    <w:r>
      <w:rPr/>
      <w:fldChar w:fldCharType="separate"/>
    </w:r>
    <w:r>
      <w:rPr/>
      <w:t>outlook8.doc</w:t>
    </w:r>
    <w:r>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t>–</w:t>
    </w:r>
    <w:r>
      <w:rPr>
        <w:rFonts w:eastAsia="Arial"/>
      </w:rPr>
      <w:t xml:space="preserve"> </w:t>
    </w:r>
    <w:r>
      <w:rPr/>
      <w:fldChar w:fldCharType="begin"/>
    </w:r>
    <w:r>
      <w:rPr/>
      <w:instrText xml:space="preserve"> PAGE </w:instrText>
    </w:r>
    <w:r>
      <w:rPr/>
      <w:fldChar w:fldCharType="separate"/>
    </w:r>
    <w:r>
      <w:rPr/>
      <w:t>15</w:t>
    </w:r>
    <w:r>
      <w:rPr/>
      <w:fldChar w:fldCharType="end"/>
    </w:r>
    <w:r>
      <w:rPr>
        <w:rFonts w:eastAsia="Arial"/>
      </w:rPr>
      <w:t xml:space="preserve"> </w:t>
    </w:r>
    <w: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t>–</w:t>
    </w:r>
    <w:r>
      <w:rPr>
        <w:rFonts w:eastAsia="Arial"/>
      </w:rPr>
      <w:t xml:space="preserve"> </w:t>
    </w:r>
    <w:r>
      <w:rPr/>
      <w:fldChar w:fldCharType="begin"/>
    </w:r>
    <w:r>
      <w:rPr/>
      <w:instrText xml:space="preserve"> PAGE </w:instrText>
    </w:r>
    <w:r>
      <w:rPr/>
      <w:fldChar w:fldCharType="separate"/>
    </w:r>
    <w:r>
      <w:rPr/>
      <w:t>16</w:t>
    </w:r>
    <w:r>
      <w:rPr/>
      <w:fldChar w:fldCharType="end"/>
    </w:r>
    <w:r>
      <w:rPr>
        <w:rFonts w:eastAsia="Arial"/>
      </w:rPr>
      <w:t xml:space="preserve"> </w:t>
    </w:r>
    <w: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spacing w:lineRule="atLeast" w:line="160" w:before="0" w:after="80"/>
        <w:ind w:hanging="213" w:start="213" w:end="0"/>
        <w:rPr/>
      </w:pPr>
      <w:r>
        <w:rPr>
          <w:rStyle w:val="FootnoteCharacters"/>
        </w:rPr>
        <w:t>*</w:t>
      </w:r>
      <w:r>
        <w:rPr>
          <w:rStyle w:val="FootnoteCharacters"/>
        </w:rPr>
        <w:t>*</w:t>
      </w:r>
      <w:r>
        <w:rPr/>
        <w:t xml:space="preserve"> The statistics for the New Economy Electrics universe exclude both of the new entrants discussed in this report: Calpine and AES.  We do this to more conservatively reflect the economic impact of the new economy strategies on the companies that are transitioning from previously regulated environments.  Including Calpine and AES, the average ROIC spread is x% in 2002, the average earnings growth rate is 13.6%, and 2000-2001 P/E ratios are 15.0 times and 13.3 times, respectively.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7"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0"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20"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5"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2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tabs>
        <w:tab w:val="clear" w:pos="7200"/>
        <w:tab w:val="right" w:pos="7380" w:leader="none"/>
      </w:tabs>
      <w:spacing w:before="60" w:after="0"/>
      <w:rPr/>
    </w:pPr>
    <w:r>
      <w:rPr/>
      <w:tab/>
    </w:r>
    <w:r>
      <w:rPr/>
      <w:drawing>
        <wp:inline distT="0" distB="0" distL="0" distR="0">
          <wp:extent cx="1005840" cy="304165"/>
          <wp:effectExtent l="0" t="0" r="0" b="0"/>
          <wp:docPr id="29"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6"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tabs>
        <w:tab w:val="clear" w:pos="7200"/>
        <w:tab w:val="right" w:pos="7380" w:leader="none"/>
      </w:tabs>
      <w:spacing w:before="60" w:after="0"/>
      <w:rPr/>
    </w:pPr>
    <w:r>
      <w:rPr/>
      <w:tab/>
    </w:r>
    <w:r>
      <w:rPr/>
      <w:drawing>
        <wp:inline distT="0" distB="0" distL="0" distR="0">
          <wp:extent cx="1005840" cy="304165"/>
          <wp:effectExtent l="0" t="0" r="0" b="0"/>
          <wp:docPr id="31"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57"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33"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8"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skNoteBar"/>
      <w:rPr/>
    </w:pPr>
    <w:r>
      <w:rPr/>
      <w:t>Desk Notes</w:t>
    </w:r>
  </w:p>
  <w:p>
    <w:pPr>
      <w:pStyle w:val="Header"/>
      <w:spacing w:before="0" w:after="12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3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40"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9"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45"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0"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4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50" name="Image4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 Copy 1"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andscape"/>
      <w:spacing w:before="60" w:after="0"/>
      <w:rPr/>
    </w:pPr>
    <w:r>
      <w:rPr/>
      <w:tab/>
    </w:r>
    <w:r>
      <w:rPr/>
      <w:drawing>
        <wp:inline distT="0" distB="0" distL="0" distR="0">
          <wp:extent cx="1005840" cy="304165"/>
          <wp:effectExtent l="0" t="0" r="0" b="0"/>
          <wp:docPr id="9"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1"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andscape"/>
      <w:spacing w:before="60" w:after="0"/>
      <w:rPr/>
    </w:pPr>
    <w:r>
      <w:rPr/>
      <w:tab/>
    </w:r>
    <w:r>
      <w:rPr/>
      <w:drawing>
        <wp:inline distT="0" distB="0" distL="0" distR="0">
          <wp:extent cx="1005840" cy="304165"/>
          <wp:effectExtent l="0" t="0" r="0" b="0"/>
          <wp:docPr id="52"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1"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54"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2"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56"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3"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59"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4"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61"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5"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63"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6"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65"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7"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67"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8"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69"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9"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71"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0"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11"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2"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73"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1"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75"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2"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andscape"/>
      <w:spacing w:before="60" w:after="0"/>
      <w:rPr/>
    </w:pPr>
    <w:r>
      <w:rPr/>
      <w:tab/>
    </w:r>
    <w:r>
      <w:rPr/>
      <w:drawing>
        <wp:inline distT="0" distB="0" distL="0" distR="0">
          <wp:extent cx="1005840" cy="304165"/>
          <wp:effectExtent l="0" t="0" r="0" b="0"/>
          <wp:docPr id="77"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3"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78"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4"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tabs>
        <w:tab w:val="clear" w:pos="7200"/>
        <w:tab w:val="right" w:pos="7380" w:leader="none"/>
      </w:tabs>
      <w:spacing w:before="60" w:after="0"/>
      <w:rPr/>
    </w:pPr>
    <w:r>
      <w:rPr/>
      <w:tab/>
    </w:r>
    <w:r>
      <w:rPr/>
      <w:drawing>
        <wp:inline distT="0" distB="0" distL="0" distR="0">
          <wp:extent cx="1005840" cy="304165"/>
          <wp:effectExtent l="0" t="0" r="0" b="0"/>
          <wp:docPr id="79"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5"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13"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3"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ab/>
    </w:r>
    <w:r>
      <w:rPr/>
      <w:drawing>
        <wp:inline distT="0" distB="0" distL="0" distR="0">
          <wp:extent cx="1005840" cy="304165"/>
          <wp:effectExtent l="0" t="0" r="0" b="0"/>
          <wp:docPr id="18"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4"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Liberation Serif" w:hAnsi="Liberation Serif" w:cs="Liberation Serif"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0"/>
        </w:tabs>
        <w:ind w:start="0" w:hanging="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sz w:val="22"/>
      </w:rPr>
    </w:lvl>
  </w:abstractNum>
  <w:abstractNum w:abstractNumId="11">
    <w:lvl w:ilvl="0">
      <w:start w:val="1"/>
      <w:numFmt w:val="upperLetter"/>
      <w:lvlText w:val="%1)"/>
      <w:lvlJc w:val="start"/>
      <w:pPr>
        <w:tabs>
          <w:tab w:val="num" w:pos="720"/>
        </w:tabs>
        <w:ind w:start="72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paragraph" w:styleId="Heading7">
    <w:name w:val="heading 7"/>
    <w:basedOn w:val="Normal"/>
    <w:next w:val="Normal"/>
    <w:qFormat/>
    <w:pPr>
      <w:keepNext w:val="true"/>
      <w:numPr>
        <w:ilvl w:val="6"/>
        <w:numId w:val="1"/>
      </w:numPr>
      <w:spacing w:before="120" w:after="120"/>
      <w:jc w:val="both"/>
      <w:outlineLvl w:val="6"/>
    </w:pPr>
    <w:rPr>
      <w:rFonts w:ascii="Courier New" w:hAnsi="Courier New" w:cs="Courier New"/>
      <w:b/>
      <w:sz w:val="24"/>
    </w:rPr>
  </w:style>
  <w:style w:type="character" w:styleId="WW8Num1z0">
    <w:name w:val="WW8Num1z0"/>
    <w:qFormat/>
    <w:rPr>
      <w:rFonts w:ascii="Symbol" w:hAnsi="Symbol" w:cs="Symbol"/>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22"/>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b/>
      <w:i w:val="false"/>
      <w:color w:val="FFFFFF"/>
      <w:sz w:val="32"/>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sz w:val="22"/>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sz w:val="22"/>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b/>
      <w:i w:val="false"/>
      <w:color w:val="FFFFFF"/>
      <w:sz w:val="32"/>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b/>
      <w:i w:val="false"/>
      <w:color w:val="FFFFFF"/>
      <w:sz w:val="32"/>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2z0">
    <w:name w:val="WW8Num132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b/>
      <w:i w:val="false"/>
      <w:color w:val="FFFFFF"/>
      <w:sz w:val="32"/>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b/>
      <w:i w:val="false"/>
      <w:color w:val="FFFFFF"/>
      <w:sz w:val="32"/>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Wingdings" w:hAnsi="Wingdings" w:cs="Wingdings"/>
      <w:sz w:val="22"/>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DefaultParagraphFont">
    <w:name w:val="Default Paragraph Font"/>
    <w:qFormat/>
    <w:rPr/>
  </w:style>
  <w:style w:type="character" w:styleId="Marker">
    <w:name w:val="Marker"/>
    <w:basedOn w:val="DefaultParagraphFont"/>
    <w:qFormat/>
    <w:rPr>
      <w:rFonts w:ascii="Arial" w:hAnsi="Arial" w:cs="Arial"/>
      <w:b/>
      <w:caps/>
      <w:vanish/>
      <w:color w:val="FF0000"/>
      <w:sz w:val="16"/>
      <w:lang w:val="en-US"/>
    </w:rPr>
  </w:style>
  <w:style w:type="character" w:styleId="DataBoxDate">
    <w:name w:val="DataBoxDate"/>
    <w:basedOn w:val="DefaultParagraphFont"/>
    <w:qFormat/>
    <w:rPr>
      <w:rFonts w:ascii="Arial Narrow" w:hAnsi="Arial Narrow" w:cs="Arial Narrow"/>
      <w:b/>
      <w:sz w:val="18"/>
      <w:lang w:val="en-US"/>
    </w:rPr>
  </w:style>
  <w:style w:type="character" w:styleId="DataBoxSuper">
    <w:name w:val="DataBoxSuper"/>
    <w:basedOn w:val="DefaultParagraphFont"/>
    <w:qFormat/>
    <w:rPr>
      <w:rFonts w:ascii="Arial Narrow" w:hAnsi="Arial Narrow" w:cs="Arial Narrow"/>
      <w:b/>
      <w:strike w:val="false"/>
      <w:dstrike w:val="false"/>
      <w:color w:val="auto"/>
      <w:sz w:val="18"/>
      <w:vertAlign w:val="superscript"/>
    </w:rPr>
  </w:style>
  <w:style w:type="character" w:styleId="Head4">
    <w:name w:val="Head4"/>
    <w:basedOn w:val="DefaultParagraphFont"/>
    <w:qFormat/>
    <w:rPr>
      <w:rFonts w:ascii="Arial" w:hAnsi="Arial" w:cs="Arial"/>
      <w:b/>
      <w:sz w:val="20"/>
      <w:lang w:val="en-US"/>
    </w:rPr>
  </w:style>
  <w:style w:type="character" w:styleId="Arrow">
    <w:name w:val="Arrow"/>
    <w:basedOn w:val="DefaultParagraphFont"/>
    <w:qFormat/>
    <w:rPr>
      <w:rFonts w:ascii="Arial" w:hAnsi="Arial" w:cs="Arial"/>
      <w:b/>
      <w:sz w:val="28"/>
      <w:lang w:val="en-US"/>
    </w:rPr>
  </w:style>
  <w:style w:type="character" w:styleId="PageNumber">
    <w:name w:val="page number"/>
    <w:basedOn w:val="DefaultParagraphFont"/>
    <w:rPr>
      <w:lang w:val="en-US"/>
    </w:rPr>
  </w:style>
  <w:style w:type="character" w:styleId="Location">
    <w:name w:val="Location"/>
    <w:qFormat/>
    <w:rPr>
      <w:sz w:val="16"/>
      <w:lang w:val="en-US"/>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rFonts w:ascii="Palatino" w:hAnsi="Palatino" w:cs="Palatino"/>
      <w:sz w:val="16"/>
      <w:vertAlign w:val="superscript"/>
      <w:lang w:val="en-US"/>
    </w:rPr>
  </w:style>
  <w:style w:type="character" w:styleId="Hyperlink">
    <w:name w:val="Hyperlink"/>
    <w:basedOn w:val="DefaultParagraphFont"/>
    <w:rPr>
      <w:color w:val="0000FF"/>
      <w:u w:val="single"/>
      <w:lang w:val="en-US"/>
    </w:rPr>
  </w:style>
  <w:style w:type="character" w:styleId="CommentReference">
    <w:name w:val="Comment Reference"/>
    <w:basedOn w:val="DefaultParagraphFont"/>
    <w:qFormat/>
    <w:rPr>
      <w:sz w:val="16"/>
      <w:lang w:val="en-US"/>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rPr>
      <w:vanish/>
      <w:color w:val="FF0000"/>
    </w:rPr>
  </w:style>
  <w:style w:type="paragraph" w:styleId="Index">
    <w:name w:val="Index"/>
    <w:basedOn w:val="Normal"/>
    <w:qFormat/>
    <w:pPr>
      <w:suppressLineNumbers/>
    </w:pPr>
    <w:rPr>
      <w:rFonts w:cs="NotoSans NF"/>
    </w:rPr>
  </w:style>
  <w:style w:type="paragraph" w:styleId="Summary">
    <w:name w:val="Summary"/>
    <w:qFormat/>
    <w:pPr>
      <w:widowControl/>
      <w:numPr>
        <w:ilvl w:val="0"/>
        <w:numId w:val="10"/>
      </w:numPr>
      <w:bidi w:val="0"/>
      <w:spacing w:lineRule="exact" w:line="240" w:before="60" w:after="60"/>
      <w:ind w:hanging="245" w:start="346" w:end="0"/>
    </w:pPr>
    <w:rPr>
      <w:rFonts w:ascii="Arial" w:hAnsi="Arial" w:eastAsia="Times New Roman" w:cs="Arial"/>
      <w:b/>
      <w:color w:val="auto"/>
      <w:sz w:val="22"/>
      <w:szCs w:val="20"/>
      <w:lang w:val="en-US" w:eastAsia="zh-CN" w:bidi="hi-IN"/>
    </w:rPr>
  </w:style>
  <w:style w:type="paragraph" w:styleId="DeleteSymbolBox">
    <w:name w:val="DeleteSymbolBox"/>
    <w:qFormat/>
    <w:pPr>
      <w:widowControl/>
      <w:bidi w:val="0"/>
    </w:pPr>
    <w:rPr>
      <w:rFonts w:ascii="Arial" w:hAnsi="Arial" w:eastAsia="Times New Roman" w:cs="Arial"/>
      <w:color w:val="auto"/>
      <w:sz w:val="20"/>
      <w:szCs w:val="20"/>
      <w:lang w:val="en-US" w:eastAsia="zh-CN" w:bidi="hi-IN"/>
    </w:rPr>
  </w:style>
  <w:style w:type="paragraph" w:styleId="DeleteSummary">
    <w:name w:val="DeleteSummary"/>
    <w:basedOn w:val="DeleteSymbolBox"/>
    <w:qFormat/>
    <w:pPr>
      <w:numPr>
        <w:ilvl w:val="0"/>
        <w:numId w:val="9"/>
      </w:numPr>
    </w:pPr>
    <w:rPr/>
  </w:style>
  <w:style w:type="paragraph" w:styleId="RoutingSlip">
    <w:name w:val="RoutingSlip"/>
    <w:qFormat/>
    <w:pPr>
      <w:widowControl/>
      <w:bidi w:val="0"/>
      <w:jc w:val="center"/>
    </w:pPr>
    <w:rPr>
      <w:rFonts w:ascii="Arial Narrow" w:hAnsi="Arial Narrow" w:eastAsia="Times New Roman" w:cs="Arial Narrow"/>
      <w:color w:val="auto"/>
      <w:sz w:val="24"/>
      <w:szCs w:val="20"/>
      <w:lang w:val="en-US" w:eastAsia="zh-CN" w:bidi="hi-IN"/>
    </w:rPr>
  </w:style>
  <w:style w:type="paragraph" w:styleId="Text">
    <w:name w:val="Text"/>
    <w:basedOn w:val="Normal"/>
    <w:qFormat/>
    <w:pPr>
      <w:jc w:val="start"/>
    </w:pPr>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 w:cs="Arial Narrow"/>
      <w:caps/>
      <w:color w:val="auto"/>
      <w:sz w:val="20"/>
      <w:szCs w:val="20"/>
      <w:vertAlign w:val="superscript"/>
      <w:lang w:val="en-US" w:eastAsia="zh-CN" w:bidi="hi-IN"/>
    </w:rPr>
  </w:style>
  <w:style w:type="paragraph" w:styleId="OfficeBar">
    <w:name w:val="OfficeBar"/>
    <w:qFormat/>
    <w:pPr>
      <w:widowControl/>
      <w:tabs>
        <w:tab w:val="clear" w:pos="720"/>
        <w:tab w:val="center" w:pos="2218" w:leader="none"/>
        <w:tab w:val="left" w:pos="2578" w:leader="none"/>
      </w:tabs>
      <w:bidi w:val="0"/>
      <w:spacing w:lineRule="exact" w:line="310" w:before="40" w:after="120"/>
      <w:ind w:hanging="0" w:start="2506" w:end="0"/>
    </w:pPr>
    <w:rPr>
      <w:rFonts w:ascii="Arial" w:hAnsi="Arial" w:eastAsia="Times New Roman" w:cs="Arial"/>
      <w:b/>
      <w:color w:val="FFFFFF"/>
      <w:sz w:val="22"/>
      <w:szCs w:val="20"/>
      <w:lang w:val="en-US" w:eastAsia="zh-CN" w:bidi="hi-IN"/>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 w:cs="Arial Narrow"/>
      <w:b/>
      <w:color w:val="auto"/>
      <w:sz w:val="18"/>
      <w:szCs w:val="20"/>
      <w:lang w:val="en-US" w:eastAsia="zh-CN" w:bidi="hi-IN"/>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Opinion">
    <w:name w:val="Opinion"/>
    <w:next w:val="Stamp1"/>
    <w:qFormat/>
    <w:pPr>
      <w:widowControl/>
      <w:shd w:fill="auto" w:val="clear"/>
      <w:bidi w:val="0"/>
      <w:spacing w:before="156" w:after="0"/>
      <w:ind w:hanging="0" w:start="72" w:end="-115"/>
    </w:pPr>
    <w:rPr>
      <w:rFonts w:ascii="Arial Narrow" w:hAnsi="Arial Narrow" w:eastAsia="Times New Roman" w:cs="Arial Narrow"/>
      <w:b/>
      <w:caps/>
      <w:color w:val="auto"/>
      <w:sz w:val="22"/>
      <w:szCs w:val="20"/>
      <w:lang w:val="en-US" w:eastAsia="zh-CN" w:bidi="hi-IN"/>
    </w:rPr>
  </w:style>
  <w:style w:type="paragraph" w:styleId="Price">
    <w:name w:val="Price"/>
    <w:basedOn w:val="Opinion"/>
    <w:qFormat/>
    <w:pPr>
      <w:spacing w:before="0" w:after="0"/>
    </w:pPr>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HeadTitle">
    <w:name w:val="HeadTitle"/>
    <w:qFormat/>
    <w:pPr>
      <w:widowControl/>
      <w:bidi w:val="0"/>
      <w:spacing w:before="0" w:after="120"/>
      <w:ind w:hanging="0" w:start="72" w:end="-115"/>
    </w:pPr>
    <w:rPr>
      <w:rFonts w:ascii="Arial" w:hAnsi="Arial" w:eastAsia="Times New Roman" w:cs="Arial"/>
      <w:b/>
      <w:color w:val="auto"/>
      <w:sz w:val="40"/>
      <w:szCs w:val="20"/>
      <w:lang w:val="en-US" w:eastAsia="zh-CN" w:bidi="hi-IN"/>
    </w:rPr>
  </w:style>
  <w:style w:type="paragraph" w:styleId="Tick">
    <w:name w:val="Tick"/>
    <w:qFormat/>
    <w:pPr>
      <w:widowControl/>
      <w:bidi w:val="0"/>
      <w:spacing w:before="156" w:after="0"/>
      <w:ind w:hanging="0" w:start="-115" w:end="14"/>
      <w:jc w:val="end"/>
    </w:pPr>
    <w:rPr>
      <w:rFonts w:ascii="Arial Narrow" w:hAnsi="Arial Narrow" w:eastAsia="Times New Roman" w:cs="Arial Narrow"/>
      <w:b/>
      <w:caps/>
      <w:color w:val="auto"/>
      <w:sz w:val="22"/>
      <w:szCs w:val="20"/>
      <w:lang w:val="en-US" w:eastAsia="zh-CN" w:bidi="hi-IN"/>
    </w:rPr>
  </w:style>
  <w:style w:type="paragraph" w:styleId="Reut">
    <w:name w:val="Reut"/>
    <w:basedOn w:val="Tick"/>
    <w:qFormat/>
    <w:pPr/>
    <w:rPr/>
  </w:style>
  <w:style w:type="paragraph" w:styleId="Other">
    <w:name w:val="Other"/>
    <w:basedOn w:val="Tick"/>
    <w:qFormat/>
    <w:pPr/>
    <w:rPr/>
  </w:style>
  <w:style w:type="paragraph" w:styleId="Subtitle">
    <w:name w:val="Subtitle"/>
    <w:next w:val="BodyText"/>
    <w:qFormat/>
    <w:pPr>
      <w:widowControl/>
      <w:bidi w:val="0"/>
      <w:spacing w:before="0" w:after="480"/>
      <w:ind w:hanging="0" w:start="130" w:end="-115"/>
    </w:pPr>
    <w:rPr>
      <w:rFonts w:ascii="Arial" w:hAnsi="Arial" w:eastAsia="Times New Roman" w:cs="Arial"/>
      <w:color w:val="auto"/>
      <w:sz w:val="24"/>
      <w:szCs w:val="20"/>
      <w:lang w:val="en-US" w:eastAsia="zh-CN" w:bidi="hi-IN"/>
    </w:rPr>
  </w:style>
  <w:style w:type="paragraph" w:styleId="Name">
    <w:name w:val="Name"/>
    <w:qFormat/>
    <w:pPr>
      <w:keepNext w:val="true"/>
      <w:widowControl/>
      <w:bidi w:val="0"/>
      <w:spacing w:before="60" w:after="0"/>
      <w:ind w:hanging="0" w:start="-14" w:end="0"/>
    </w:pPr>
    <w:rPr>
      <w:rFonts w:ascii="Arial" w:hAnsi="Arial" w:eastAsia="Times New Roman" w:cs="Arial"/>
      <w:b/>
      <w:color w:val="auto"/>
      <w:sz w:val="16"/>
      <w:szCs w:val="20"/>
      <w:lang w:val="en-US" w:eastAsia="zh-CN" w:bidi="hi-IN"/>
    </w:rPr>
  </w:style>
  <w:style w:type="paragraph" w:styleId="Phone">
    <w:name w:val="Phone"/>
    <w:qFormat/>
    <w:pPr>
      <w:widowControl/>
      <w:bidi w:val="0"/>
      <w:ind w:hanging="0" w:start="-14" w:end="0"/>
    </w:pPr>
    <w:rPr>
      <w:rFonts w:ascii="Arial" w:hAnsi="Arial" w:eastAsia="Times New Roman" w:cs="Arial"/>
      <w:color w:val="auto"/>
      <w:sz w:val="16"/>
      <w:szCs w:val="20"/>
      <w:lang w:val="en-US" w:eastAsia="zh-CN" w:bidi="hi-IN"/>
    </w:rPr>
  </w:style>
  <w:style w:type="paragraph" w:styleId="Email">
    <w:name w:val="Email"/>
    <w:qFormat/>
    <w:pPr>
      <w:widowControl/>
      <w:bidi w:val="0"/>
      <w:spacing w:before="0" w:after="120"/>
      <w:ind w:hanging="0" w:start="-14" w:end="0"/>
    </w:pPr>
    <w:rPr>
      <w:rFonts w:ascii="Arial" w:hAnsi="Arial" w:eastAsia="Times New Roman" w:cs="Arial"/>
      <w:color w:val="auto"/>
      <w:sz w:val="16"/>
      <w:szCs w:val="20"/>
      <w:lang w:val="en-US" w:eastAsia="zh-CN" w:bidi="hi-IN"/>
    </w:rPr>
  </w:style>
  <w:style w:type="paragraph" w:styleId="Picture">
    <w:name w:val="Picture"/>
    <w:qFormat/>
    <w:pPr>
      <w:widowControl/>
      <w:bidi w:val="0"/>
      <w:spacing w:before="120" w:after="0"/>
      <w:jc w:val="center"/>
    </w:pPr>
    <w:rPr>
      <w:rFonts w:ascii="Arial" w:hAnsi="Arial" w:eastAsia="Times New Roman" w:cs="Arial"/>
      <w:color w:val="auto"/>
      <w:sz w:val="20"/>
      <w:szCs w:val="20"/>
      <w:lang w:val="en-US" w:eastAsia="zh-CN" w:bidi="hi-IN"/>
    </w:rPr>
  </w:style>
  <w:style w:type="paragraph" w:styleId="GraphicTitle">
    <w:name w:val="GraphicTitle"/>
    <w:qFormat/>
    <w:pPr>
      <w:widowControl/>
      <w:bidi w:val="0"/>
      <w:spacing w:before="60" w:after="60"/>
      <w:ind w:hanging="0" w:start="-115" w:end="-115"/>
      <w:jc w:val="center"/>
    </w:pPr>
    <w:rPr>
      <w:rFonts w:ascii="Arial" w:hAnsi="Arial" w:eastAsia="Times New Roman" w:cs="Arial"/>
      <w:b/>
      <w:i/>
      <w:color w:val="auto"/>
      <w:sz w:val="16"/>
      <w:szCs w:val="20"/>
      <w:lang w:val="en-US" w:eastAsia="zh-CN" w:bidi="hi-IN"/>
    </w:rPr>
  </w:style>
  <w:style w:type="paragraph" w:styleId="GraphicSource">
    <w:name w:val="GraphicSource"/>
    <w:basedOn w:val="GraphicTitle"/>
    <w:qFormat/>
    <w:pPr>
      <w:spacing w:before="60" w:after="0"/>
      <w:ind w:hanging="0" w:start="0" w:end="-115"/>
      <w:jc w:val="start"/>
    </w:pPr>
    <w:rPr>
      <w:b w:val="false"/>
      <w:i w:val="false"/>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InsertTOC">
    <w:name w:val="InsertTOC"/>
    <w:qFormat/>
    <w:pPr>
      <w:widowControl/>
      <w:bidi w:val="0"/>
    </w:pPr>
    <w:rPr>
      <w:rFonts w:ascii="Arial" w:hAnsi="Arial" w:eastAsia="Times New Roman" w:cs="Arial"/>
      <w:b/>
      <w:caps/>
      <w:vanish/>
      <w:color w:val="FF0000"/>
      <w:sz w:val="18"/>
      <w:szCs w:val="20"/>
      <w:lang w:val="en-US" w:eastAsia="zh-CN" w:bidi="hi-IN"/>
    </w:rPr>
  </w:style>
  <w:style w:type="paragraph" w:styleId="Head1">
    <w:name w:val="Head1"/>
    <w:next w:val="Text"/>
    <w:qFormat/>
    <w:pPr>
      <w:keepNext w:val="true"/>
      <w:pageBreakBefore/>
      <w:widowControl/>
      <w:pBdr>
        <w:bottom w:val="single" w:sz="4" w:space="1" w:color="000000"/>
      </w:pBdr>
      <w:bidi w:val="0"/>
      <w:spacing w:before="0" w:after="240"/>
    </w:pPr>
    <w:rPr>
      <w:rFonts w:ascii="Arial" w:hAnsi="Arial" w:eastAsia="Times New Roman" w:cs="Arial"/>
      <w:b/>
      <w:color w:val="auto"/>
      <w:sz w:val="24"/>
      <w:szCs w:val="20"/>
      <w:lang w:val="en-US" w:eastAsia="zh-CN" w:bidi="hi-IN"/>
    </w:rPr>
  </w:style>
  <w:style w:type="paragraph" w:styleId="Head2">
    <w:name w:val="Head2"/>
    <w:basedOn w:val="Normal"/>
    <w:next w:val="Text"/>
    <w:qFormat/>
    <w:pPr>
      <w:keepNext w:val="true"/>
      <w:jc w:val="start"/>
    </w:pPr>
    <w:rPr>
      <w:b/>
      <w:sz w:val="22"/>
    </w:rPr>
  </w:style>
  <w:style w:type="paragraph" w:styleId="Head3">
    <w:name w:val="Head3"/>
    <w:basedOn w:val="Head2"/>
    <w:next w:val="Text"/>
    <w:qFormat/>
    <w:pPr>
      <w:spacing w:before="0" w:after="0"/>
    </w:pPr>
    <w:rPr/>
  </w:style>
  <w:style w:type="paragraph" w:styleId="DataBoxTitle">
    <w:name w:val="DataBoxTitle"/>
    <w:basedOn w:val="Normal"/>
    <w:qFormat/>
    <w:pPr>
      <w:tabs>
        <w:tab w:val="clear" w:pos="720"/>
        <w:tab w:val="right" w:pos="1080" w:leader="none"/>
      </w:tabs>
      <w:spacing w:lineRule="exact" w:line="180" w:before="0" w:after="0"/>
      <w:jc w:val="end"/>
    </w:pPr>
    <w:rPr>
      <w:rFonts w:ascii="Arial Narrow" w:hAnsi="Arial Narrow" w:cs="Arial Narrow"/>
      <w:b/>
      <w:sz w:val="18"/>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 w:cs="Arial Narrow"/>
      <w:b/>
      <w:color w:val="auto"/>
      <w:sz w:val="22"/>
      <w:szCs w:val="20"/>
      <w:lang w:val="en-US" w:eastAsia="zh-CN" w:bidi="hi-IN"/>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NB">
    <w:name w:val="NB"/>
    <w:qFormat/>
    <w:pPr>
      <w:widowControl/>
      <w:pBdr>
        <w:top w:val="single" w:sz="6" w:space="1" w:color="000000"/>
      </w:pBdr>
      <w:bidi w:val="0"/>
      <w:spacing w:before="0" w:after="120"/>
    </w:pPr>
    <w:rPr>
      <w:rFonts w:ascii="Arial Narrow" w:hAnsi="Arial Narrow" w:eastAsia="Times New Roman" w:cs="Arial Narrow"/>
      <w:color w:val="auto"/>
      <w:sz w:val="16"/>
      <w:szCs w:val="20"/>
      <w:lang w:val="en-US" w:eastAsia="zh-CN" w:bidi="hi-IN"/>
    </w:rPr>
  </w:style>
  <w:style w:type="paragraph" w:styleId="BlankPage">
    <w:name w:val="BlankPage"/>
    <w:basedOn w:val="Normal"/>
    <w:qFormat/>
    <w:pPr>
      <w:keepLines/>
      <w:jc w:val="start"/>
    </w:pPr>
    <w:rPr>
      <w:rFonts w:ascii="Palatino" w:hAnsi="Palatino" w:cs="Palatino"/>
      <w:b/>
      <w:vanish/>
      <w:color w:val="FF0000"/>
      <w:sz w:val="28"/>
    </w:rPr>
  </w:style>
  <w:style w:type="paragraph" w:styleId="Disclaimer2">
    <w:name w:val="Disclaimer2"/>
    <w:qFormat/>
    <w:pPr>
      <w:widowControl/>
      <w:pBdr>
        <w:top w:val="single" w:sz="6" w:space="4" w:color="000000"/>
      </w:pBdr>
      <w:bidi w:val="0"/>
      <w:spacing w:before="0" w:after="60"/>
      <w:jc w:val="both"/>
    </w:pPr>
    <w:rPr>
      <w:rFonts w:ascii="Arial Narrow" w:hAnsi="Arial Narrow" w:eastAsia="Times New Roman" w:cs="Arial Narrow"/>
      <w:color w:val="auto"/>
      <w:sz w:val="15"/>
      <w:szCs w:val="20"/>
      <w:lang w:val="en-US" w:eastAsia="zh-CN" w:bidi="hi-IN"/>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Main">
    <w:name w:val="FooterMain"/>
    <w:qFormat/>
    <w:pPr>
      <w:widowControl/>
      <w:pBdr>
        <w:top w:val="single" w:sz="4" w:space="1" w:color="000000"/>
      </w:pBdr>
      <w:bidi w:val="0"/>
      <w:ind w:hanging="0" w:start="-2390" w:end="0"/>
      <w:jc w:val="center"/>
    </w:pPr>
    <w:rPr>
      <w:rFonts w:ascii="Arial" w:hAnsi="Arial" w:eastAsia="Times New Roman" w:cs="Arial"/>
      <w:color w:val="auto"/>
      <w:sz w:val="20"/>
      <w:szCs w:val="20"/>
      <w:lang w:val="en-US" w:eastAsia="zh-CN" w:bidi="hi-I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w:hAnsi="Arial" w:eastAsia="Times New Roman" w:cs="Arial"/>
      <w:b/>
      <w:caps/>
      <w:color w:val="FFFFFF"/>
      <w:sz w:val="32"/>
      <w:szCs w:val="20"/>
      <w:lang w:val="en-US" w:eastAsia="zh-CN" w:bidi="hi-IN"/>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Address">
    <w:name w:val="Address"/>
    <w:basedOn w:val="Normal"/>
    <w:next w:val="Normal"/>
    <w:qFormat/>
    <w:pPr>
      <w:spacing w:before="0" w:after="240"/>
      <w:jc w:val="start"/>
    </w:pPr>
    <w:rPr/>
  </w:style>
  <w:style w:type="paragraph" w:styleId="BottomBar">
    <w:name w:val="Bottom Bar"/>
    <w:basedOn w:val="Normal"/>
    <w:qFormat/>
    <w:pPr>
      <w:pBdr>
        <w:bottom w:val="single" w:sz="36" w:space="0" w:color="00FFFF"/>
      </w:pBdr>
      <w:jc w:val="center"/>
    </w:pPr>
    <w:rPr>
      <w:rFonts w:ascii="Arial" w:hAnsi="Arial" w:cs="Arial"/>
    </w:rPr>
  </w:style>
  <w:style w:type="paragraph" w:styleId="BranchList">
    <w:name w:val="BranchList"/>
    <w:basedOn w:val="Text"/>
    <w:qFormat/>
    <w:pPr/>
    <w:rPr/>
  </w:style>
  <w:style w:type="paragraph" w:styleId="TableTitle">
    <w:name w:val="TableTitle"/>
    <w:basedOn w:val="Normal"/>
    <w:qFormat/>
    <w:pPr>
      <w:keepNext w:val="true"/>
      <w:pBdr>
        <w:top w:val="single" w:sz="6" w:space="1" w:color="000000"/>
      </w:pBdr>
      <w:spacing w:before="0" w:after="0"/>
      <w:jc w:val="start"/>
    </w:pPr>
    <w:rPr>
      <w:b/>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pBdr>
        <w:top w:val="nil"/>
        <w:bottom w:val="single" w:sz="6" w:space="1" w:color="000000"/>
      </w:pBdr>
    </w:pPr>
    <w:rPr/>
  </w:style>
  <w:style w:type="paragraph" w:styleId="CameraReadyTableTitle">
    <w:name w:val="CameraReadyTableTitle"/>
    <w:basedOn w:val="TableTitle"/>
    <w:qFormat/>
    <w:pPr>
      <w:pBdr>
        <w:top w:val="nil"/>
        <w:bottom w:val="single" w:sz="6" w:space="1" w:color="000000"/>
      </w:pBdr>
    </w:pPr>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Disclaimer">
    <w:name w:val="Disclaimer"/>
    <w:basedOn w:val="Normal"/>
    <w:qFormat/>
    <w:pPr>
      <w:pBdr>
        <w:top w:val="single" w:sz="6" w:space="4" w:color="000000"/>
      </w:pBdr>
      <w:spacing w:before="0" w:after="0"/>
    </w:pPr>
    <w:rPr>
      <w:rFonts w:ascii="Arial Narrow" w:hAnsi="Arial Narrow" w:cs="Arial Narrow"/>
      <w:sz w:val="15"/>
    </w:rPr>
  </w:style>
  <w:style w:type="paragraph" w:styleId="FooterRegular">
    <w:name w:val="Footer Regular"/>
    <w:basedOn w:val="Footer"/>
    <w:qFormat/>
    <w:pPr>
      <w:pBdr>
        <w:top w:val="single" w:sz="6" w:space="1" w:color="000000"/>
      </w:pBdr>
      <w:ind w:hanging="0" w:start="-2376" w:end="0"/>
      <w:jc w:val="center"/>
    </w:pPr>
    <w:rPr>
      <w:rFonts w:ascii="Arial" w:hAnsi="Arial" w:cs="Arial"/>
    </w:rPr>
  </w:style>
  <w:style w:type="paragraph" w:styleId="FooterPortrait">
    <w:name w:val="FooterPortrait"/>
    <w:basedOn w:val="FooterMain"/>
    <w:qFormat/>
    <w:pPr>
      <w:ind w:hanging="0" w:start="0" w:end="0"/>
    </w:pPr>
    <w:rPr/>
  </w:style>
  <w:style w:type="paragraph" w:styleId="FootnoteText">
    <w:name w:val="footnote text"/>
    <w:basedOn w:val="Normal"/>
    <w:pPr>
      <w:pBdr>
        <w:top w:val="single" w:sz="6" w:space="1" w:color="000000"/>
      </w:pBdr>
    </w:pPr>
    <w:rPr>
      <w:rFonts w:ascii="Helvetica-Narrow" w:hAnsi="Helvetica-Narrow" w:cs="Helvetica-Narrow"/>
      <w:color w:val="000000"/>
      <w:sz w:val="16"/>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HeaderTitleEvenPg">
    <w:name w:val="Header Title Even Pg"/>
    <w:basedOn w:val="HeaderLogoEvenPg"/>
    <w:qFormat/>
    <w:pPr>
      <w:spacing w:before="60" w:after="120"/>
      <w:jc w:val="end"/>
    </w:pPr>
    <w:rPr/>
  </w:style>
  <w:style w:type="paragraph" w:styleId="HeaderPortrait">
    <w:name w:val="HeaderPortrait"/>
    <w:basedOn w:val="HeaderMain"/>
    <w:qFormat/>
    <w:pPr>
      <w:tabs>
        <w:tab w:val="clear" w:pos="7200"/>
        <w:tab w:val="right" w:pos="9446" w:leader="none"/>
      </w:tabs>
      <w:ind w:hanging="0" w:start="0" w:end="-43"/>
    </w:pPr>
    <w:rPr/>
  </w:style>
  <w:style w:type="paragraph" w:styleId="HeaderLandscape">
    <w:name w:val="HeaderLandscape"/>
    <w:basedOn w:val="HeaderPortrait"/>
    <w:qFormat/>
    <w:pPr>
      <w:tabs>
        <w:tab w:val="clear" w:pos="9446"/>
        <w:tab w:val="right" w:pos="13234" w:leader="none"/>
      </w:tabs>
    </w:pPr>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MarkTable">
    <w:name w:val="MarkTable"/>
    <w:basedOn w:val="TableColHead"/>
    <w:qFormat/>
    <w:pPr/>
    <w:rPr/>
  </w:style>
  <w:style w:type="paragraph" w:styleId="NewAnalystName">
    <w:name w:val="NewAnalystName"/>
    <w:basedOn w:val="Normal"/>
    <w:qFormat/>
    <w:pPr>
      <w:keepNext w:val="true"/>
      <w:keepLines/>
      <w:spacing w:before="0" w:after="0"/>
      <w:jc w:val="start"/>
    </w:pPr>
    <w:rPr>
      <w:sz w:val="28"/>
    </w:rPr>
  </w:style>
  <w:style w:type="paragraph" w:styleId="NewCompany">
    <w:name w:val="NewCompany"/>
    <w:basedOn w:val="HeadTitle"/>
    <w:qFormat/>
    <w:pPr/>
    <w:rPr/>
  </w:style>
  <w:style w:type="paragraph" w:styleId="NewIndustry">
    <w:name w:val="NewIndustry"/>
    <w:basedOn w:val="Name"/>
    <w:qFormat/>
    <w:pPr/>
    <w:rPr/>
  </w:style>
  <w:style w:type="paragraph" w:styleId="NewIndustryName">
    <w:name w:val="NewIndustryName"/>
    <w:basedOn w:val="NewIndustry"/>
    <w:qFormat/>
    <w:pPr>
      <w:spacing w:before="0" w:after="120"/>
    </w:pPr>
    <w:rPr>
      <w:b w:val="false"/>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PlaceHolder">
    <w:name w:val="PlaceHolder"/>
    <w:qFormat/>
    <w:pPr>
      <w:widowControl/>
      <w:bidi w:val="0"/>
      <w:jc w:val="center"/>
    </w:pPr>
    <w:rPr>
      <w:rFonts w:ascii="Arial" w:hAnsi="Arial" w:eastAsia="Times New Roman" w:cs="Arial"/>
      <w:b/>
      <w:caps/>
      <w:vanish/>
      <w:color w:val="FF0000"/>
      <w:sz w:val="16"/>
      <w:szCs w:val="20"/>
      <w:lang w:val="en-US" w:eastAsia="zh-CN" w:bidi="hi-IN"/>
    </w:rPr>
  </w:style>
  <w:style w:type="paragraph" w:styleId="Region2">
    <w:name w:val="Region2"/>
    <w:basedOn w:val="Normal"/>
    <w:next w:val="Address"/>
    <w:qFormat/>
    <w:pPr>
      <w:spacing w:before="240" w:after="120"/>
      <w:jc w:val="start"/>
    </w:pPr>
    <w:rPr>
      <w:b/>
      <w:color w:val="00FFFF"/>
      <w:sz w:val="28"/>
    </w:rPr>
  </w:style>
  <w:style w:type="paragraph" w:styleId="SymbolBox">
    <w:name w:val="SymbolBox"/>
    <w:basedOn w:val="Normal"/>
    <w:qFormat/>
    <w:pPr>
      <w:jc w:val="center"/>
    </w:pPr>
    <w:rPr>
      <w:rFonts w:ascii="Arial" w:hAnsi="Arial" w:cs="Arial"/>
      <w:sz w:val="8"/>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TOC1">
    <w:name w:val="toc 1"/>
    <w:pPr>
      <w:keepNext w:val="true"/>
      <w:widowControl/>
      <w:tabs>
        <w:tab w:val="clear" w:pos="720"/>
        <w:tab w:val="right" w:pos="7200" w:leader="dot"/>
      </w:tabs>
      <w:suppressAutoHyphens w:val="true"/>
      <w:bidi w:val="0"/>
      <w:spacing w:before="120" w:after="0"/>
    </w:pPr>
    <w:rPr>
      <w:rFonts w:ascii="Arial" w:hAnsi="Arial" w:eastAsia="Times New Roman" w:cs="Arial"/>
      <w:b/>
      <w:color w:val="auto"/>
      <w:sz w:val="20"/>
      <w:szCs w:val="20"/>
      <w:lang w:val="en-US" w:eastAsia="zh-CN" w:bidi="hi-IN"/>
    </w:rPr>
  </w:style>
  <w:style w:type="paragraph" w:styleId="TOC1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1"/>
    <w:qFormat/>
    <w:pPr>
      <w:keepNext w:val="false"/>
      <w:keepLines/>
      <w:pBdr>
        <w:bottom w:val="single" w:sz="6" w:space="3" w:color="000000"/>
      </w:pBdr>
      <w:ind w:firstLine="202" w:start="0" w:end="0"/>
    </w:pPr>
    <w:rPr>
      <w:b w:val="false"/>
    </w:rPr>
  </w:style>
  <w:style w:type="paragraph" w:styleId="Top">
    <w:name w:val="Top"/>
    <w:basedOn w:val="Normal"/>
    <w:qFormat/>
    <w:pPr>
      <w:pBdr>
        <w:top w:val="single" w:sz="6" w:space="1" w:color="000000"/>
      </w:pBdr>
      <w:spacing w:before="0" w:after="0"/>
      <w:jc w:val="start"/>
    </w:pPr>
    <w:rPr>
      <w:caps/>
      <w:sz w:val="16"/>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w:hAnsi="Arial" w:eastAsia="Times New Roman" w:cs="Arial"/>
      <w:color w:val="auto"/>
      <w:sz w:val="24"/>
      <w:szCs w:val="20"/>
      <w:lang w:val="en-US" w:eastAsia="zh-CN" w:bidi="hi-IN"/>
    </w:rPr>
  </w:style>
  <w:style w:type="paragraph" w:styleId="HeaderTitleOddPg">
    <w:name w:val="Header Title OddPg"/>
    <w:basedOn w:val="HeaderTitleEvenPg"/>
    <w:qFormat/>
    <w:pPr>
      <w:jc w:val="start"/>
    </w:pPr>
    <w:rPr/>
  </w:style>
  <w:style w:type="paragraph" w:styleId="NormalIndent">
    <w:name w:val="Normal Indent"/>
    <w:basedOn w:val="Normal"/>
    <w:qFormat/>
    <w:pPr>
      <w:ind w:hanging="0" w:start="720" w:end="0"/>
    </w:pPr>
    <w:rPr>
      <w:rFonts w:ascii="Arial" w:hAnsi="Arial" w:cs="Arial"/>
    </w:rPr>
  </w:style>
  <w:style w:type="paragraph" w:styleId="TOC5">
    <w:name w:val="toc 5"/>
    <w:next w:val="Normal"/>
    <w:pPr>
      <w:widowControl/>
      <w:tabs>
        <w:tab w:val="clear" w:pos="720"/>
        <w:tab w:val="right" w:pos="7200" w:leader="none"/>
      </w:tabs>
      <w:bidi w:val="0"/>
    </w:pPr>
    <w:rPr>
      <w:rFonts w:ascii="Arial" w:hAnsi="Arial" w:eastAsia="Times New Roman" w:cs="Arial"/>
      <w:i/>
      <w:color w:val="auto"/>
      <w:sz w:val="18"/>
      <w:szCs w:val="20"/>
      <w:lang w:val="en-CA" w:eastAsia="zh-CN" w:bidi="hi-IN"/>
    </w:rPr>
  </w:style>
  <w:style w:type="paragraph" w:styleId="TOC21">
    <w:name w:val="toc 2"/>
    <w:pPr>
      <w:widowControl/>
      <w:tabs>
        <w:tab w:val="clear" w:pos="720"/>
        <w:tab w:val="right" w:pos="7200" w:leader="none"/>
      </w:tabs>
      <w:bidi w:val="0"/>
      <w:ind w:hanging="0" w:start="187" w:end="0"/>
      <w:jc w:val="both"/>
    </w:pPr>
    <w:rPr>
      <w:rFonts w:ascii="Arial" w:hAnsi="Arial" w:eastAsia="Times New Roman" w:cs="Arial"/>
      <w:color w:val="auto"/>
      <w:sz w:val="18"/>
      <w:szCs w:val="20"/>
      <w:lang w:val="en-US" w:eastAsia="zh-CN" w:bidi="hi-IN"/>
    </w:rPr>
  </w:style>
  <w:style w:type="paragraph" w:styleId="FootnoteText1">
    <w:name w:val="Footnote Text1"/>
    <w:basedOn w:val="Normal"/>
    <w:qFormat/>
    <w:pPr>
      <w:spacing w:lineRule="atLeast" w:line="160" w:before="0" w:after="80"/>
      <w:ind w:hanging="213" w:start="213" w:end="0"/>
    </w:pPr>
    <w:rPr>
      <w:sz w:val="16"/>
    </w:rPr>
  </w:style>
  <w:style w:type="paragraph" w:styleId="CommentText">
    <w:name w:val="Comment Text"/>
    <w:basedOn w:val="Normal"/>
    <w:qFormat/>
    <w:pPr/>
    <w:rPr/>
  </w:style>
  <w:style w:type="paragraph" w:styleId="BodyTextIndent">
    <w:name w:val="Body Text Indent"/>
    <w:basedOn w:val="Normal"/>
    <w:pPr>
      <w:ind w:hanging="0" w:start="86" w:end="0"/>
      <w:jc w:val="start"/>
    </w:pPr>
    <w:rPr/>
  </w:style>
  <w:style w:type="paragraph" w:styleId="TOC3">
    <w:name w:val="toc 3"/>
    <w:next w:val="Normal"/>
    <w:pPr>
      <w:keepNext w:val="true"/>
      <w:widowControl/>
      <w:pBdr>
        <w:top w:val="single" w:sz="6" w:space="1" w:color="000000"/>
      </w:pBdr>
      <w:tabs>
        <w:tab w:val="clear" w:pos="720"/>
        <w:tab w:val="right" w:pos="7200" w:leader="none"/>
      </w:tabs>
      <w:suppressAutoHyphens w:val="true"/>
      <w:bidi w:val="0"/>
      <w:spacing w:before="240" w:after="0"/>
    </w:pPr>
    <w:rPr>
      <w:rFonts w:ascii="Arial" w:hAnsi="Arial" w:eastAsia="Times New Roman" w:cs="Arial"/>
      <w:b/>
      <w:i/>
      <w:color w:val="auto"/>
      <w:sz w:val="20"/>
      <w:szCs w:val="20"/>
      <w:lang w:val="en-US" w:eastAsia="zh-CN" w:bidi="hi-IN"/>
    </w:rPr>
  </w:style>
  <w:style w:type="paragraph" w:styleId="TOC4">
    <w:name w:val="toc 4"/>
    <w:next w:val="Normal"/>
    <w:pPr>
      <w:widowControl/>
      <w:tabs>
        <w:tab w:val="clear" w:pos="720"/>
        <w:tab w:val="right" w:pos="7219" w:leader="none"/>
      </w:tabs>
      <w:bidi w:val="0"/>
      <w:spacing w:before="0" w:after="240"/>
      <w:ind w:hanging="0" w:start="187" w:end="0"/>
    </w:pPr>
    <w:rPr>
      <w:rFonts w:ascii="Arial" w:hAnsi="Arial" w:eastAsia="Times New Roman" w:cs="Arial"/>
      <w:color w:val="auto"/>
      <w:sz w:val="18"/>
      <w:szCs w:val="20"/>
      <w:lang w:val="en-US" w:eastAsia="zh-CN" w:bidi="hi-IN"/>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NUMBER">
    <w:name w:val="NUMBER"/>
    <w:basedOn w:val="Name"/>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5.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6.wmf"/><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image" Target="media/image7.wmf"/><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image" Target="media/image8.wmf"/><Relationship Id="rId25" Type="http://schemas.openxmlformats.org/officeDocument/2006/relationships/image" Target="media/image9.wmf"/><Relationship Id="rId26" Type="http://schemas.openxmlformats.org/officeDocument/2006/relationships/image" Target="media/image10.wmf"/><Relationship Id="rId27" Type="http://schemas.openxmlformats.org/officeDocument/2006/relationships/image" Target="media/image11.wmf"/><Relationship Id="rId28" Type="http://schemas.openxmlformats.org/officeDocument/2006/relationships/header" Target="header9.xml"/><Relationship Id="rId29" Type="http://schemas.openxmlformats.org/officeDocument/2006/relationships/header" Target="header10.xml"/><Relationship Id="rId30" Type="http://schemas.openxmlformats.org/officeDocument/2006/relationships/footer" Target="footer9.xml"/><Relationship Id="rId31" Type="http://schemas.openxmlformats.org/officeDocument/2006/relationships/footer" Target="footer10.xml"/><Relationship Id="rId32" Type="http://schemas.openxmlformats.org/officeDocument/2006/relationships/header" Target="header11.xml"/><Relationship Id="rId33" Type="http://schemas.openxmlformats.org/officeDocument/2006/relationships/header" Target="header12.xml"/><Relationship Id="rId34" Type="http://schemas.openxmlformats.org/officeDocument/2006/relationships/footer" Target="footer11.xml"/><Relationship Id="rId35" Type="http://schemas.openxmlformats.org/officeDocument/2006/relationships/footer" Target="footer12.xml"/><Relationship Id="rId36" Type="http://schemas.openxmlformats.org/officeDocument/2006/relationships/oleObject" Target="embeddings/oleObject1.bin"/><Relationship Id="rId37" Type="http://schemas.openxmlformats.org/officeDocument/2006/relationships/image" Target="media/image12.wmf"/><Relationship Id="rId38" Type="http://schemas.openxmlformats.org/officeDocument/2006/relationships/image" Target="media/image13.wmf"/><Relationship Id="rId39" Type="http://schemas.openxmlformats.org/officeDocument/2006/relationships/image" Target="media/image14.wmf"/><Relationship Id="rId40" Type="http://schemas.openxmlformats.org/officeDocument/2006/relationships/image" Target="media/image15.wmf"/><Relationship Id="rId41" Type="http://schemas.openxmlformats.org/officeDocument/2006/relationships/header" Target="header13.xml"/><Relationship Id="rId42" Type="http://schemas.openxmlformats.org/officeDocument/2006/relationships/header" Target="header14.xml"/><Relationship Id="rId43" Type="http://schemas.openxmlformats.org/officeDocument/2006/relationships/footer" Target="footer13.xml"/><Relationship Id="rId44" Type="http://schemas.openxmlformats.org/officeDocument/2006/relationships/footer" Target="footer14.xml"/><Relationship Id="rId45" Type="http://schemas.openxmlformats.org/officeDocument/2006/relationships/image" Target="media/image16.wmf"/><Relationship Id="rId46" Type="http://schemas.openxmlformats.org/officeDocument/2006/relationships/image" Target="media/image17.wmf"/><Relationship Id="rId47" Type="http://schemas.openxmlformats.org/officeDocument/2006/relationships/image" Target="media/image18.wmf"/><Relationship Id="rId48" Type="http://schemas.openxmlformats.org/officeDocument/2006/relationships/image" Target="media/image19.wmf"/><Relationship Id="rId49" Type="http://schemas.openxmlformats.org/officeDocument/2006/relationships/header" Target="header15.xml"/><Relationship Id="rId50" Type="http://schemas.openxmlformats.org/officeDocument/2006/relationships/header" Target="header16.xml"/><Relationship Id="rId51" Type="http://schemas.openxmlformats.org/officeDocument/2006/relationships/footer" Target="footer15.xml"/><Relationship Id="rId52" Type="http://schemas.openxmlformats.org/officeDocument/2006/relationships/footer" Target="footer16.xml"/><Relationship Id="rId53" Type="http://schemas.openxmlformats.org/officeDocument/2006/relationships/image" Target="media/image20.wmf"/><Relationship Id="rId54" Type="http://schemas.openxmlformats.org/officeDocument/2006/relationships/header" Target="header17.xml"/><Relationship Id="rId55" Type="http://schemas.openxmlformats.org/officeDocument/2006/relationships/header" Target="header18.xml"/><Relationship Id="rId56" Type="http://schemas.openxmlformats.org/officeDocument/2006/relationships/footer" Target="footer17.xml"/><Relationship Id="rId57" Type="http://schemas.openxmlformats.org/officeDocument/2006/relationships/footer" Target="footer18.xml"/><Relationship Id="rId58" Type="http://schemas.openxmlformats.org/officeDocument/2006/relationships/image" Target="media/image21.wmf"/><Relationship Id="rId59" Type="http://schemas.openxmlformats.org/officeDocument/2006/relationships/header" Target="header19.xml"/><Relationship Id="rId60" Type="http://schemas.openxmlformats.org/officeDocument/2006/relationships/header" Target="header20.xml"/><Relationship Id="rId61" Type="http://schemas.openxmlformats.org/officeDocument/2006/relationships/footer" Target="footer19.xml"/><Relationship Id="rId62" Type="http://schemas.openxmlformats.org/officeDocument/2006/relationships/footer" Target="footer20.xml"/><Relationship Id="rId63" Type="http://schemas.openxmlformats.org/officeDocument/2006/relationships/image" Target="media/image22.wmf"/><Relationship Id="rId64" Type="http://schemas.openxmlformats.org/officeDocument/2006/relationships/image" Target="media/image23.wmf"/><Relationship Id="rId65" Type="http://schemas.openxmlformats.org/officeDocument/2006/relationships/header" Target="header21.xml"/><Relationship Id="rId66" Type="http://schemas.openxmlformats.org/officeDocument/2006/relationships/header" Target="header22.xml"/><Relationship Id="rId67" Type="http://schemas.openxmlformats.org/officeDocument/2006/relationships/footer" Target="footer21.xml"/><Relationship Id="rId68" Type="http://schemas.openxmlformats.org/officeDocument/2006/relationships/footer" Target="footer22.xml"/><Relationship Id="rId69" Type="http://schemas.openxmlformats.org/officeDocument/2006/relationships/image" Target="media/image24.wmf"/><Relationship Id="rId70" Type="http://schemas.openxmlformats.org/officeDocument/2006/relationships/image" Target="media/image25.wmf"/><Relationship Id="rId71" Type="http://schemas.openxmlformats.org/officeDocument/2006/relationships/image" Target="media/image26.wmf"/><Relationship Id="rId72" Type="http://schemas.openxmlformats.org/officeDocument/2006/relationships/header" Target="header23.xml"/><Relationship Id="rId73" Type="http://schemas.openxmlformats.org/officeDocument/2006/relationships/header" Target="header24.xml"/><Relationship Id="rId74" Type="http://schemas.openxmlformats.org/officeDocument/2006/relationships/footer" Target="footer23.xml"/><Relationship Id="rId75" Type="http://schemas.openxmlformats.org/officeDocument/2006/relationships/footer" Target="footer24.xml"/><Relationship Id="rId76" Type="http://schemas.openxmlformats.org/officeDocument/2006/relationships/image" Target="media/image27.wmf"/><Relationship Id="rId77" Type="http://schemas.openxmlformats.org/officeDocument/2006/relationships/image" Target="media/image28.wmf"/><Relationship Id="rId78" Type="http://schemas.openxmlformats.org/officeDocument/2006/relationships/image" Target="media/image29.wmf"/><Relationship Id="rId79" Type="http://schemas.openxmlformats.org/officeDocument/2006/relationships/image" Target="media/image30.wmf"/><Relationship Id="rId80" Type="http://schemas.openxmlformats.org/officeDocument/2006/relationships/header" Target="header25.xml"/><Relationship Id="rId81" Type="http://schemas.openxmlformats.org/officeDocument/2006/relationships/header" Target="header26.xml"/><Relationship Id="rId82" Type="http://schemas.openxmlformats.org/officeDocument/2006/relationships/footer" Target="footer25.xml"/><Relationship Id="rId83" Type="http://schemas.openxmlformats.org/officeDocument/2006/relationships/footer" Target="footer26.xml"/><Relationship Id="rId84" Type="http://schemas.openxmlformats.org/officeDocument/2006/relationships/image" Target="media/image31.wmf"/><Relationship Id="rId85" Type="http://schemas.openxmlformats.org/officeDocument/2006/relationships/image" Target="media/image32.wmf"/><Relationship Id="rId86" Type="http://schemas.openxmlformats.org/officeDocument/2006/relationships/image" Target="media/image33.wmf"/><Relationship Id="rId87" Type="http://schemas.openxmlformats.org/officeDocument/2006/relationships/header" Target="header27.xml"/><Relationship Id="rId88" Type="http://schemas.openxmlformats.org/officeDocument/2006/relationships/header" Target="header28.xml"/><Relationship Id="rId89" Type="http://schemas.openxmlformats.org/officeDocument/2006/relationships/footer" Target="footer27.xml"/><Relationship Id="rId90" Type="http://schemas.openxmlformats.org/officeDocument/2006/relationships/footer" Target="footer28.xml"/><Relationship Id="rId91" Type="http://schemas.openxmlformats.org/officeDocument/2006/relationships/header" Target="header29.xml"/><Relationship Id="rId92" Type="http://schemas.openxmlformats.org/officeDocument/2006/relationships/header" Target="header30.xml"/><Relationship Id="rId93" Type="http://schemas.openxmlformats.org/officeDocument/2006/relationships/footer" Target="footer29.xml"/><Relationship Id="rId94" Type="http://schemas.openxmlformats.org/officeDocument/2006/relationships/footer" Target="footer30.xml"/><Relationship Id="rId95" Type="http://schemas.openxmlformats.org/officeDocument/2006/relationships/image" Target="media/image34.wmf"/><Relationship Id="rId96" Type="http://schemas.openxmlformats.org/officeDocument/2006/relationships/header" Target="header31.xml"/><Relationship Id="rId97" Type="http://schemas.openxmlformats.org/officeDocument/2006/relationships/header" Target="header32.xml"/><Relationship Id="rId98" Type="http://schemas.openxmlformats.org/officeDocument/2006/relationships/footer" Target="footer31.xml"/><Relationship Id="rId99" Type="http://schemas.openxmlformats.org/officeDocument/2006/relationships/footer" Target="footer32.xml"/><Relationship Id="rId100" Type="http://schemas.openxmlformats.org/officeDocument/2006/relationships/image" Target="media/image35.wmf"/><Relationship Id="rId101" Type="http://schemas.openxmlformats.org/officeDocument/2006/relationships/header" Target="header33.xml"/><Relationship Id="rId102" Type="http://schemas.openxmlformats.org/officeDocument/2006/relationships/header" Target="header34.xml"/><Relationship Id="rId103" Type="http://schemas.openxmlformats.org/officeDocument/2006/relationships/footer" Target="footer33.xml"/><Relationship Id="rId104" Type="http://schemas.openxmlformats.org/officeDocument/2006/relationships/footer" Target="footer34.xml"/><Relationship Id="rId105" Type="http://schemas.openxmlformats.org/officeDocument/2006/relationships/image" Target="media/image36.wmf"/><Relationship Id="rId106" Type="http://schemas.openxmlformats.org/officeDocument/2006/relationships/header" Target="header35.xml"/><Relationship Id="rId107" Type="http://schemas.openxmlformats.org/officeDocument/2006/relationships/header" Target="header36.xml"/><Relationship Id="rId108" Type="http://schemas.openxmlformats.org/officeDocument/2006/relationships/footer" Target="footer35.xml"/><Relationship Id="rId109" Type="http://schemas.openxmlformats.org/officeDocument/2006/relationships/footer" Target="footer36.xml"/><Relationship Id="rId110" Type="http://schemas.openxmlformats.org/officeDocument/2006/relationships/image" Target="media/image37.wmf"/><Relationship Id="rId111" Type="http://schemas.openxmlformats.org/officeDocument/2006/relationships/image" Target="media/image38.wmf"/><Relationship Id="rId112" Type="http://schemas.openxmlformats.org/officeDocument/2006/relationships/header" Target="header37.xml"/><Relationship Id="rId113" Type="http://schemas.openxmlformats.org/officeDocument/2006/relationships/header" Target="header38.xml"/><Relationship Id="rId114" Type="http://schemas.openxmlformats.org/officeDocument/2006/relationships/footer" Target="footer37.xml"/><Relationship Id="rId115" Type="http://schemas.openxmlformats.org/officeDocument/2006/relationships/footer" Target="footer38.xml"/><Relationship Id="rId116" Type="http://schemas.openxmlformats.org/officeDocument/2006/relationships/image" Target="media/image39.wmf"/><Relationship Id="rId117" Type="http://schemas.openxmlformats.org/officeDocument/2006/relationships/header" Target="header39.xml"/><Relationship Id="rId118" Type="http://schemas.openxmlformats.org/officeDocument/2006/relationships/header" Target="header40.xml"/><Relationship Id="rId119" Type="http://schemas.openxmlformats.org/officeDocument/2006/relationships/footer" Target="footer39.xml"/><Relationship Id="rId120" Type="http://schemas.openxmlformats.org/officeDocument/2006/relationships/footer" Target="footer40.xml"/><Relationship Id="rId121" Type="http://schemas.openxmlformats.org/officeDocument/2006/relationships/image" Target="media/image40.wmf"/><Relationship Id="rId122" Type="http://schemas.openxmlformats.org/officeDocument/2006/relationships/header" Target="header41.xml"/><Relationship Id="rId123" Type="http://schemas.openxmlformats.org/officeDocument/2006/relationships/header" Target="header42.xml"/><Relationship Id="rId124" Type="http://schemas.openxmlformats.org/officeDocument/2006/relationships/footer" Target="footer41.xml"/><Relationship Id="rId125" Type="http://schemas.openxmlformats.org/officeDocument/2006/relationships/footer" Target="footer42.xml"/><Relationship Id="rId126" Type="http://schemas.openxmlformats.org/officeDocument/2006/relationships/image" Target="media/image41.wmf"/><Relationship Id="rId127" Type="http://schemas.openxmlformats.org/officeDocument/2006/relationships/header" Target="header43.xml"/><Relationship Id="rId128" Type="http://schemas.openxmlformats.org/officeDocument/2006/relationships/header" Target="header44.xml"/><Relationship Id="rId129" Type="http://schemas.openxmlformats.org/officeDocument/2006/relationships/footer" Target="footer43.xml"/><Relationship Id="rId130" Type="http://schemas.openxmlformats.org/officeDocument/2006/relationships/footer" Target="footer44.xml"/><Relationship Id="rId131" Type="http://schemas.openxmlformats.org/officeDocument/2006/relationships/image" Target="media/image42.wmf"/><Relationship Id="rId132" Type="http://schemas.openxmlformats.org/officeDocument/2006/relationships/header" Target="header45.xml"/><Relationship Id="rId133" Type="http://schemas.openxmlformats.org/officeDocument/2006/relationships/header" Target="header46.xml"/><Relationship Id="rId134" Type="http://schemas.openxmlformats.org/officeDocument/2006/relationships/footer" Target="footer45.xml"/><Relationship Id="rId135" Type="http://schemas.openxmlformats.org/officeDocument/2006/relationships/footer" Target="footer46.xml"/><Relationship Id="rId136" Type="http://schemas.openxmlformats.org/officeDocument/2006/relationships/image" Target="media/image43.wmf"/><Relationship Id="rId137" Type="http://schemas.openxmlformats.org/officeDocument/2006/relationships/header" Target="header47.xml"/><Relationship Id="rId138" Type="http://schemas.openxmlformats.org/officeDocument/2006/relationships/header" Target="header48.xml"/><Relationship Id="rId139" Type="http://schemas.openxmlformats.org/officeDocument/2006/relationships/footer" Target="footer47.xml"/><Relationship Id="rId140" Type="http://schemas.openxmlformats.org/officeDocument/2006/relationships/footer" Target="footer48.xml"/><Relationship Id="rId141" Type="http://schemas.openxmlformats.org/officeDocument/2006/relationships/image" Target="media/image44.wmf"/><Relationship Id="rId142" Type="http://schemas.openxmlformats.org/officeDocument/2006/relationships/header" Target="header49.xml"/><Relationship Id="rId143" Type="http://schemas.openxmlformats.org/officeDocument/2006/relationships/header" Target="header50.xml"/><Relationship Id="rId144" Type="http://schemas.openxmlformats.org/officeDocument/2006/relationships/footer" Target="footer49.xml"/><Relationship Id="rId145" Type="http://schemas.openxmlformats.org/officeDocument/2006/relationships/footer" Target="footer50.xml"/><Relationship Id="rId146" Type="http://schemas.openxmlformats.org/officeDocument/2006/relationships/image" Target="media/image45.wmf"/><Relationship Id="rId147" Type="http://schemas.openxmlformats.org/officeDocument/2006/relationships/header" Target="header51.xml"/><Relationship Id="rId148" Type="http://schemas.openxmlformats.org/officeDocument/2006/relationships/header" Target="header52.xml"/><Relationship Id="rId149" Type="http://schemas.openxmlformats.org/officeDocument/2006/relationships/footer" Target="footer51.xml"/><Relationship Id="rId150" Type="http://schemas.openxmlformats.org/officeDocument/2006/relationships/footer" Target="footer52.xml"/><Relationship Id="rId151" Type="http://schemas.openxmlformats.org/officeDocument/2006/relationships/image" Target="media/image46.wmf"/><Relationship Id="rId152" Type="http://schemas.openxmlformats.org/officeDocument/2006/relationships/header" Target="header53.xml"/><Relationship Id="rId153" Type="http://schemas.openxmlformats.org/officeDocument/2006/relationships/header" Target="header54.xml"/><Relationship Id="rId154" Type="http://schemas.openxmlformats.org/officeDocument/2006/relationships/footer" Target="footer53.xml"/><Relationship Id="rId155" Type="http://schemas.openxmlformats.org/officeDocument/2006/relationships/footer" Target="footer54.xml"/><Relationship Id="rId156" Type="http://schemas.openxmlformats.org/officeDocument/2006/relationships/image" Target="media/image47.wmf"/><Relationship Id="rId157" Type="http://schemas.openxmlformats.org/officeDocument/2006/relationships/header" Target="header55.xml"/><Relationship Id="rId158" Type="http://schemas.openxmlformats.org/officeDocument/2006/relationships/header" Target="header56.xml"/><Relationship Id="rId159" Type="http://schemas.openxmlformats.org/officeDocument/2006/relationships/footer" Target="footer55.xml"/><Relationship Id="rId160" Type="http://schemas.openxmlformats.org/officeDocument/2006/relationships/footer" Target="footer56.xml"/><Relationship Id="rId161" Type="http://schemas.openxmlformats.org/officeDocument/2006/relationships/header" Target="header57.xml"/><Relationship Id="rId162" Type="http://schemas.openxmlformats.org/officeDocument/2006/relationships/header" Target="header58.xml"/><Relationship Id="rId163" Type="http://schemas.openxmlformats.org/officeDocument/2006/relationships/footer" Target="footer57.xml"/><Relationship Id="rId164" Type="http://schemas.openxmlformats.org/officeDocument/2006/relationships/footer" Target="footer58.xml"/><Relationship Id="rId165" Type="http://schemas.openxmlformats.org/officeDocument/2006/relationships/header" Target="header59.xml"/><Relationship Id="rId166" Type="http://schemas.openxmlformats.org/officeDocument/2006/relationships/header" Target="header60.xml"/><Relationship Id="rId167" Type="http://schemas.openxmlformats.org/officeDocument/2006/relationships/footer" Target="footer59.xml"/><Relationship Id="rId168" Type="http://schemas.openxmlformats.org/officeDocument/2006/relationships/footer" Target="footer60.xml"/><Relationship Id="rId169" Type="http://schemas.openxmlformats.org/officeDocument/2006/relationships/image" Target="media/image1.wmf"/><Relationship Id="rId170" Type="http://schemas.openxmlformats.org/officeDocument/2006/relationships/header" Target="header61.xml"/><Relationship Id="rId171" Type="http://schemas.openxmlformats.org/officeDocument/2006/relationships/header" Target="header62.xml"/><Relationship Id="rId172" Type="http://schemas.openxmlformats.org/officeDocument/2006/relationships/footer" Target="footer61.xml"/><Relationship Id="rId173" Type="http://schemas.openxmlformats.org/officeDocument/2006/relationships/footer" Target="footer62.xml"/><Relationship Id="rId174" Type="http://schemas.openxmlformats.org/officeDocument/2006/relationships/footnotes" Target="footnotes.xml"/><Relationship Id="rId175" Type="http://schemas.openxmlformats.org/officeDocument/2006/relationships/numbering" Target="numbering.xml"/><Relationship Id="rId176" Type="http://schemas.openxmlformats.org/officeDocument/2006/relationships/fontTable" Target="fontTable.xml"/><Relationship Id="rId177" Type="http://schemas.openxmlformats.org/officeDocument/2006/relationships/settings" Target="settings.xml"/><Relationship Id="rId17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wmf"/>
</Relationships>
</file>

<file path=word/_rels/header11.xml.rels><?xml version="1.0" encoding="UTF-8"?>
<Relationships xmlns="http://schemas.openxmlformats.org/package/2006/relationships"><Relationship Id="rId1" Type="http://schemas.openxmlformats.org/officeDocument/2006/relationships/image" Target="media/image4.wmf"/>
</Relationships>
</file>

<file path=word/_rels/header13.xml.rels><?xml version="1.0" encoding="UTF-8"?>
<Relationships xmlns="http://schemas.openxmlformats.org/package/2006/relationships"><Relationship Id="rId1" Type="http://schemas.openxmlformats.org/officeDocument/2006/relationships/image" Target="media/image4.wmf"/>
</Relationships>
</file>

<file path=word/_rels/header15.xml.rels><?xml version="1.0" encoding="UTF-8"?>
<Relationships xmlns="http://schemas.openxmlformats.org/package/2006/relationships"><Relationship Id="rId1" Type="http://schemas.openxmlformats.org/officeDocument/2006/relationships/image" Target="media/image4.wmf"/>
</Relationships>
</file>

<file path=word/_rels/header17.xml.rels><?xml version="1.0" encoding="UTF-8"?>
<Relationships xmlns="http://schemas.openxmlformats.org/package/2006/relationships"><Relationship Id="rId1" Type="http://schemas.openxmlformats.org/officeDocument/2006/relationships/image" Target="media/image4.wmf"/>
</Relationships>
</file>

<file path=word/_rels/header19.xml.rels><?xml version="1.0" encoding="UTF-8"?>
<Relationships xmlns="http://schemas.openxmlformats.org/package/2006/relationships"><Relationship Id="rId1" Type="http://schemas.openxmlformats.org/officeDocument/2006/relationships/image" Target="media/image4.wmf"/>
</Relationships>
</file>

<file path=word/_rels/header21.xml.rels><?xml version="1.0" encoding="UTF-8"?>
<Relationships xmlns="http://schemas.openxmlformats.org/package/2006/relationships"><Relationship Id="rId1" Type="http://schemas.openxmlformats.org/officeDocument/2006/relationships/image" Target="media/image4.wmf"/>
</Relationships>
</file>

<file path=word/_rels/header23.xml.rels><?xml version="1.0" encoding="UTF-8"?>
<Relationships xmlns="http://schemas.openxmlformats.org/package/2006/relationships"><Relationship Id="rId1" Type="http://schemas.openxmlformats.org/officeDocument/2006/relationships/image" Target="media/image4.wmf"/>
</Relationships>
</file>

<file path=word/_rels/header25.xml.rels><?xml version="1.0" encoding="UTF-8"?>
<Relationships xmlns="http://schemas.openxmlformats.org/package/2006/relationships"><Relationship Id="rId1" Type="http://schemas.openxmlformats.org/officeDocument/2006/relationships/image" Target="media/image4.wmf"/>
</Relationships>
</file>

<file path=word/_rels/header27.xml.rels><?xml version="1.0" encoding="UTF-8"?>
<Relationships xmlns="http://schemas.openxmlformats.org/package/2006/relationships"><Relationship Id="rId1" Type="http://schemas.openxmlformats.org/officeDocument/2006/relationships/image" Target="media/image4.wmf"/>
</Relationships>
</file>

<file path=word/_rels/header29.xml.rels><?xml version="1.0" encoding="UTF-8"?>
<Relationships xmlns="http://schemas.openxmlformats.org/package/2006/relationships"><Relationship Id="rId1" Type="http://schemas.openxmlformats.org/officeDocument/2006/relationships/image" Target="media/image4.wmf"/>
</Relationships>
</file>

<file path=word/_rels/header3.xml.rels><?xml version="1.0" encoding="UTF-8"?>
<Relationships xmlns="http://schemas.openxmlformats.org/package/2006/relationships"><Relationship Id="rId1" Type="http://schemas.openxmlformats.org/officeDocument/2006/relationships/image" Target="media/image4.wmf"/>
</Relationships>
</file>

<file path=word/_rels/header31.xml.rels><?xml version="1.0" encoding="UTF-8"?>
<Relationships xmlns="http://schemas.openxmlformats.org/package/2006/relationships"><Relationship Id="rId1" Type="http://schemas.openxmlformats.org/officeDocument/2006/relationships/image" Target="media/image4.wmf"/>
</Relationships>
</file>

<file path=word/_rels/header33.xml.rels><?xml version="1.0" encoding="UTF-8"?>
<Relationships xmlns="http://schemas.openxmlformats.org/package/2006/relationships"><Relationship Id="rId1" Type="http://schemas.openxmlformats.org/officeDocument/2006/relationships/image" Target="media/image4.wmf"/>
</Relationships>
</file>

<file path=word/_rels/header35.xml.rels><?xml version="1.0" encoding="UTF-8"?>
<Relationships xmlns="http://schemas.openxmlformats.org/package/2006/relationships"><Relationship Id="rId1" Type="http://schemas.openxmlformats.org/officeDocument/2006/relationships/image" Target="media/image4.wmf"/>
</Relationships>
</file>

<file path=word/_rels/header37.xml.rels><?xml version="1.0" encoding="UTF-8"?>
<Relationships xmlns="http://schemas.openxmlformats.org/package/2006/relationships"><Relationship Id="rId1" Type="http://schemas.openxmlformats.org/officeDocument/2006/relationships/image" Target="media/image4.wmf"/>
</Relationships>
</file>

<file path=word/_rels/header39.xml.rels><?xml version="1.0" encoding="UTF-8"?>
<Relationships xmlns="http://schemas.openxmlformats.org/package/2006/relationships"><Relationship Id="rId1" Type="http://schemas.openxmlformats.org/officeDocument/2006/relationships/image" Target="media/image4.wmf"/>
</Relationships>
</file>

<file path=word/_rels/header41.xml.rels><?xml version="1.0" encoding="UTF-8"?>
<Relationships xmlns="http://schemas.openxmlformats.org/package/2006/relationships"><Relationship Id="rId1" Type="http://schemas.openxmlformats.org/officeDocument/2006/relationships/image" Target="media/image4.wmf"/>
</Relationships>
</file>

<file path=word/_rels/header43.xml.rels><?xml version="1.0" encoding="UTF-8"?>
<Relationships xmlns="http://schemas.openxmlformats.org/package/2006/relationships"><Relationship Id="rId1" Type="http://schemas.openxmlformats.org/officeDocument/2006/relationships/image" Target="media/image4.wmf"/>
</Relationships>
</file>

<file path=word/_rels/header45.xml.rels><?xml version="1.0" encoding="UTF-8"?>
<Relationships xmlns="http://schemas.openxmlformats.org/package/2006/relationships"><Relationship Id="rId1" Type="http://schemas.openxmlformats.org/officeDocument/2006/relationships/image" Target="media/image4.wmf"/>
</Relationships>
</file>

<file path=word/_rels/header47.xml.rels><?xml version="1.0" encoding="UTF-8"?>
<Relationships xmlns="http://schemas.openxmlformats.org/package/2006/relationships"><Relationship Id="rId1" Type="http://schemas.openxmlformats.org/officeDocument/2006/relationships/image" Target="media/image4.wmf"/>
</Relationships>
</file>

<file path=word/_rels/header49.xml.rels><?xml version="1.0" encoding="UTF-8"?>
<Relationships xmlns="http://schemas.openxmlformats.org/package/2006/relationships"><Relationship Id="rId1" Type="http://schemas.openxmlformats.org/officeDocument/2006/relationships/image" Target="media/image4.wmf"/>
</Relationships>
</file>

<file path=word/_rels/header5.xml.rels><?xml version="1.0" encoding="UTF-8"?>
<Relationships xmlns="http://schemas.openxmlformats.org/package/2006/relationships"><Relationship Id="rId1" Type="http://schemas.openxmlformats.org/officeDocument/2006/relationships/image" Target="media/image4.wmf"/>
</Relationships>
</file>

<file path=word/_rels/header51.xml.rels><?xml version="1.0" encoding="UTF-8"?>
<Relationships xmlns="http://schemas.openxmlformats.org/package/2006/relationships"><Relationship Id="rId1" Type="http://schemas.openxmlformats.org/officeDocument/2006/relationships/image" Target="media/image4.wmf"/>
</Relationships>
</file>

<file path=word/_rels/header53.xml.rels><?xml version="1.0" encoding="UTF-8"?>
<Relationships xmlns="http://schemas.openxmlformats.org/package/2006/relationships"><Relationship Id="rId1" Type="http://schemas.openxmlformats.org/officeDocument/2006/relationships/image" Target="media/image4.wmf"/>
</Relationships>
</file>

<file path=word/_rels/header55.xml.rels><?xml version="1.0" encoding="UTF-8"?>
<Relationships xmlns="http://schemas.openxmlformats.org/package/2006/relationships"><Relationship Id="rId1" Type="http://schemas.openxmlformats.org/officeDocument/2006/relationships/image" Target="media/image4.wmf"/>
</Relationships>
</file>

<file path=word/_rels/header57.xml.rels><?xml version="1.0" encoding="UTF-8"?>
<Relationships xmlns="http://schemas.openxmlformats.org/package/2006/relationships"><Relationship Id="rId1" Type="http://schemas.openxmlformats.org/officeDocument/2006/relationships/image" Target="media/image4.wmf"/>
</Relationships>
</file>

<file path=word/_rels/header59.xml.rels><?xml version="1.0" encoding="UTF-8"?>
<Relationships xmlns="http://schemas.openxmlformats.org/package/2006/relationships"><Relationship Id="rId1" Type="http://schemas.openxmlformats.org/officeDocument/2006/relationships/image" Target="media/image4.wmf"/>
</Relationships>
</file>

<file path=word/_rels/header7.xml.rels><?xml version="1.0" encoding="UTF-8"?>
<Relationships xmlns="http://schemas.openxmlformats.org/package/2006/relationships"><Relationship Id="rId1" Type="http://schemas.openxmlformats.org/officeDocument/2006/relationships/image" Target="media/image4.wmf"/>
</Relationships>
</file>

<file path=word/_rels/header9.xml.rels><?xml version="1.0" encoding="UTF-8"?>
<Relationships xmlns="http://schemas.openxmlformats.org/package/2006/relationships"><Relationship Id="rId1" Type="http://schemas.openxmlformats.org/officeDocument/2006/relationships/image" Target="media/image4.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Cover99.dot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2000-01-05T12:39:00Z</dcterms:created>
  <dc:creator>Andrea Klauber</dc:creator>
  <dc:description/>
  <dc:language>en-CA</dc:language>
  <cp:lastModifiedBy>Andrea Klauber</cp:lastModifiedBy>
  <cp:lastPrinted>2000-01-05T14:00:00Z</cp:lastPrinted>
  <dcterms:modified xsi:type="dcterms:W3CDTF">2000-01-05T18:18:00Z</dcterms:modified>
  <cp:revision>18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Cover</vt:lpwstr>
  </property>
</Properties>
</file>