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
        <w:rPr>
          <w:rFonts w:ascii="Tahoma" w:hAnsi="Tahoma" w:cs="Tahoma"/>
          <w:sz w:val="18"/>
        </w:rPr>
      </w:pPr>
      <w:r>
        <w:rPr>
          <w:rFonts w:cs="Tahoma" w:ascii="Tahoma" w:hAnsi="Tahoma"/>
          <w:sz w:val="18"/>
        </w:rPr>
        <w:drawing>
          <wp:inline distT="0" distB="0" distL="0" distR="0">
            <wp:extent cx="6671945" cy="626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52" r="-5" b="-52"/>
                    <a:stretch>
                      <a:fillRect/>
                    </a:stretch>
                  </pic:blipFill>
                  <pic:spPr bwMode="auto">
                    <a:xfrm>
                      <a:off x="0" y="0"/>
                      <a:ext cx="6671945" cy="626745"/>
                    </a:xfrm>
                    <a:prstGeom prst="rect">
                      <a:avLst/>
                    </a:prstGeom>
                    <a:noFill/>
                  </pic:spPr>
                </pic:pic>
              </a:graphicData>
            </a:graphic>
          </wp:inline>
        </w:drawing>
      </w:r>
    </w:p>
    <w:p>
      <w:pPr>
        <w:pStyle w:val="Normal"/>
        <w:ind w:end="36"/>
        <w:rPr>
          <w:rFonts w:ascii="Tahoma" w:hAnsi="Tahoma" w:cs="Tahoma"/>
          <w:sz w:val="12"/>
        </w:rPr>
      </w:pPr>
      <w:r>
        <w:rPr>
          <w:rFonts w:cs="Tahoma" w:ascii="Tahoma" w:hAnsi="Tahoma"/>
          <w:sz w:val="12"/>
        </w:rPr>
      </w:r>
    </w:p>
    <w:p>
      <w:pPr>
        <w:pStyle w:val="Normal"/>
        <w:ind w:end="36"/>
        <w:rPr>
          <w:rFonts w:ascii="Tahoma" w:hAnsi="Tahoma" w:cs="Tahoma"/>
          <w:sz w:val="18"/>
        </w:rPr>
      </w:pPr>
      <w:r>
        <w:rPr>
          <w:rFonts w:cs="Tahoma" w:ascii="Tahoma" w:hAnsi="Tahoma"/>
          <w:sz w:val="18"/>
        </w:rPr>
      </w:r>
    </w:p>
    <w:p>
      <w:pPr>
        <w:pStyle w:val="Normal"/>
        <w:ind w:end="36"/>
        <w:rPr/>
      </w:pPr>
      <w:r>
        <w:rPr>
          <w:rFonts w:cs="Arial" w:ascii="Arial" w:hAnsi="Arial"/>
          <w:b/>
          <w:bCs/>
          <w:i/>
          <w:iCs/>
          <w:color w:val="FF0000"/>
          <w:sz w:val="28"/>
        </w:rPr>
        <w:t>Email Policies</w:t>
      </w:r>
      <w:r>
        <w:rPr>
          <w:rFonts w:cs="Arial" w:ascii="Arial" w:hAnsi="Arial"/>
          <w:color w:val="FF0000"/>
          <w:sz w:val="18"/>
        </w:rPr>
        <w:t>_____________________________________________________________________________________</w:t>
      </w:r>
    </w:p>
    <w:p>
      <w:pPr>
        <w:pStyle w:val="Normal"/>
        <w:ind w:end="36"/>
        <w:rPr>
          <w:rFonts w:ascii="Tahoma" w:hAnsi="Tahoma" w:cs="Tahoma"/>
          <w:color w:val="FF0000"/>
          <w:sz w:val="18"/>
        </w:rPr>
      </w:pPr>
      <w:r>
        <w:rPr>
          <w:rFonts w:cs="Tahoma" w:ascii="Tahoma" w:hAnsi="Tahoma"/>
          <w:color w:val="FF0000"/>
          <w:sz w:val="18"/>
        </w:rPr>
      </w:r>
    </w:p>
    <w:p>
      <w:pPr>
        <w:pStyle w:val="Heading2"/>
        <w:rPr/>
      </w:pPr>
      <w:r>
        <w:rPr/>
        <w:t>Mailbox Size</w:t>
      </w:r>
    </w:p>
    <w:p>
      <w:pPr>
        <w:pStyle w:val="BodyText2"/>
        <w:ind w:end="36"/>
        <w:rPr>
          <w:sz w:val="18"/>
        </w:rPr>
      </w:pPr>
      <w:r>
        <w:rPr>
          <w:sz w:val="18"/>
        </w:rPr>
        <w:t>Users will be restricted to a Mailbox size of 100 MB.  Further mailbox size restrictions are detailed as follows:</w:t>
      </w:r>
    </w:p>
    <w:p>
      <w:pPr>
        <w:pStyle w:val="Normal"/>
        <w:ind w:end="36"/>
        <w:jc w:val="both"/>
        <w:rPr>
          <w:rFonts w:ascii="Tahoma" w:hAnsi="Tahoma" w:cs="Tahoma"/>
          <w:sz w:val="18"/>
        </w:rPr>
      </w:pPr>
      <w:r>
        <w:rPr>
          <w:rFonts w:cs="Tahoma" w:ascii="Tahoma" w:hAnsi="Tahoma"/>
          <w:sz w:val="18"/>
        </w:rPr>
      </w:r>
    </w:p>
    <w:p>
      <w:pPr>
        <w:pStyle w:val="BodyText"/>
        <w:ind w:start="540" w:end="36"/>
        <w:rPr>
          <w:rFonts w:ascii="Tahoma" w:hAnsi="Tahoma" w:cs="Tahoma"/>
          <w:b/>
          <w:bCs/>
          <w:sz w:val="18"/>
        </w:rPr>
      </w:pPr>
      <w:r>
        <w:rPr>
          <w:rFonts w:cs="Tahoma" w:ascii="Tahoma" w:hAnsi="Tahoma"/>
          <w:b/>
          <w:bCs/>
          <w:sz w:val="18"/>
        </w:rPr>
        <w:t>Issue Warning at 75MB</w:t>
      </w:r>
    </w:p>
    <w:p>
      <w:pPr>
        <w:pStyle w:val="Normal"/>
        <w:ind w:start="540" w:end="36"/>
        <w:jc w:val="both"/>
        <w:rPr>
          <w:rFonts w:ascii="Tahoma" w:hAnsi="Tahoma" w:cs="Tahoma"/>
          <w:sz w:val="18"/>
        </w:rPr>
      </w:pPr>
      <w:r>
        <w:rPr>
          <w:rFonts w:cs="Tahoma" w:ascii="Tahoma" w:hAnsi="Tahoma"/>
          <w:sz w:val="18"/>
        </w:rPr>
        <w:t>Users are automatically sent a warning from the System Administrator explaining that they are near their Mailbox limit.</w:t>
      </w:r>
    </w:p>
    <w:p>
      <w:pPr>
        <w:pStyle w:val="Normal"/>
        <w:ind w:start="540" w:end="36"/>
        <w:jc w:val="both"/>
        <w:rPr>
          <w:rFonts w:ascii="Tahoma" w:hAnsi="Tahoma" w:cs="Tahoma"/>
          <w:sz w:val="18"/>
        </w:rPr>
      </w:pPr>
      <w:r>
        <w:rPr>
          <w:rFonts w:cs="Tahoma" w:ascii="Tahoma" w:hAnsi="Tahoma"/>
          <w:sz w:val="18"/>
        </w:rPr>
      </w:r>
    </w:p>
    <w:p>
      <w:pPr>
        <w:pStyle w:val="BodyText"/>
        <w:ind w:start="540" w:end="36"/>
        <w:rPr>
          <w:rFonts w:ascii="Tahoma" w:hAnsi="Tahoma" w:cs="Tahoma"/>
          <w:b/>
          <w:bCs/>
          <w:sz w:val="18"/>
        </w:rPr>
      </w:pPr>
      <w:r>
        <w:rPr>
          <w:rFonts w:cs="Tahoma" w:ascii="Tahoma" w:hAnsi="Tahoma"/>
          <w:b/>
          <w:bCs/>
          <w:sz w:val="18"/>
        </w:rPr>
        <w:t>Prohibit Send at 100MB</w:t>
      </w:r>
    </w:p>
    <w:p>
      <w:pPr>
        <w:pStyle w:val="Normal"/>
        <w:ind w:start="540" w:end="36"/>
        <w:jc w:val="both"/>
        <w:rPr>
          <w:rFonts w:ascii="Tahoma" w:hAnsi="Tahoma" w:cs="Tahoma"/>
          <w:sz w:val="18"/>
        </w:rPr>
      </w:pPr>
      <w:r>
        <w:rPr>
          <w:rFonts w:cs="Tahoma" w:ascii="Tahoma" w:hAnsi="Tahoma"/>
          <w:sz w:val="18"/>
        </w:rPr>
        <w:t xml:space="preserve">Users are prevented from sending email, yet they can still receive internal and external messages.  Users must reduce the size of their mailbox by deleting old mail, saving attachments to a local drive, etc. before they can send email again. </w:t>
      </w:r>
    </w:p>
    <w:p>
      <w:pPr>
        <w:pStyle w:val="Normal"/>
        <w:ind w:end="36"/>
        <w:rPr>
          <w:rFonts w:ascii="Tahoma" w:hAnsi="Tahoma" w:cs="Tahoma"/>
          <w:sz w:val="18"/>
        </w:rPr>
      </w:pPr>
      <w:r>
        <w:rPr>
          <w:rFonts w:cs="Tahoma" w:ascii="Tahoma" w:hAnsi="Tahoma"/>
          <w:sz w:val="18"/>
        </w:rPr>
      </w:r>
    </w:p>
    <w:p>
      <w:pPr>
        <w:pStyle w:val="Heading2"/>
        <w:rPr/>
      </w:pPr>
      <w:r>
        <w:rPr/>
        <w:t>Inbound/Outbound Mail Size Limits</w:t>
      </w:r>
    </w:p>
    <w:p>
      <w:pPr>
        <w:pStyle w:val="Normal"/>
        <w:ind w:end="36"/>
        <w:jc w:val="both"/>
        <w:rPr>
          <w:rFonts w:ascii="Tahoma" w:hAnsi="Tahoma" w:cs="Tahoma"/>
          <w:sz w:val="18"/>
        </w:rPr>
      </w:pPr>
      <w:r>
        <w:rPr>
          <w:rFonts w:cs="Tahoma" w:ascii="Tahoma" w:hAnsi="Tahoma"/>
          <w:sz w:val="18"/>
        </w:rPr>
        <w:t>Inbound and outbound email messages will be limited to a size of 10MB.</w:t>
      </w:r>
    </w:p>
    <w:p>
      <w:pPr>
        <w:pStyle w:val="Normal"/>
        <w:ind w:end="36"/>
        <w:jc w:val="both"/>
        <w:rPr>
          <w:rFonts w:ascii="Tahoma" w:hAnsi="Tahoma" w:cs="Tahoma"/>
          <w:sz w:val="18"/>
        </w:rPr>
      </w:pPr>
      <w:r>
        <w:rPr>
          <w:rFonts w:cs="Tahoma" w:ascii="Tahoma" w:hAnsi="Tahoma"/>
          <w:sz w:val="18"/>
        </w:rPr>
      </w:r>
    </w:p>
    <w:p>
      <w:pPr>
        <w:pStyle w:val="Heading2"/>
        <w:rPr/>
      </w:pPr>
      <w:r>
        <w:rPr/>
        <w:t>Deleted Item Retention</w:t>
      </w:r>
    </w:p>
    <w:p>
      <w:pPr>
        <w:pStyle w:val="Normal"/>
        <w:ind w:end="36"/>
        <w:jc w:val="both"/>
        <w:rPr>
          <w:rFonts w:ascii="Tahoma" w:hAnsi="Tahoma" w:cs="Tahoma"/>
          <w:sz w:val="18"/>
        </w:rPr>
      </w:pPr>
      <w:r>
        <w:rPr>
          <w:rFonts w:cs="Tahoma" w:ascii="Tahoma" w:hAnsi="Tahoma"/>
          <w:sz w:val="18"/>
        </w:rPr>
        <w:t>Users will be able to recover deleted items from their mailbox as old as 8 days.  Deleted items include email messages, folders, contacts, calendar entries, tasks, notes, journal entries and meeting notices.</w:t>
      </w:r>
    </w:p>
    <w:p>
      <w:pPr>
        <w:pStyle w:val="Normal"/>
        <w:ind w:end="36"/>
        <w:rPr>
          <w:rFonts w:ascii="Tahoma" w:hAnsi="Tahoma" w:cs="Tahoma"/>
          <w:sz w:val="18"/>
        </w:rPr>
      </w:pPr>
      <w:r>
        <w:rPr>
          <w:rFonts w:cs="Tahoma" w:ascii="Tahoma" w:hAnsi="Tahoma"/>
          <w:sz w:val="18"/>
        </w:rPr>
      </w:r>
    </w:p>
    <w:p>
      <w:pPr>
        <w:pStyle w:val="Heading2"/>
        <w:rPr/>
      </w:pPr>
      <w:r>
        <w:rPr/>
        <w:t>Archiving</w:t>
      </w:r>
    </w:p>
    <w:p>
      <w:pPr>
        <w:pStyle w:val="Normal"/>
        <w:ind w:end="36"/>
        <w:rPr>
          <w:rFonts w:ascii="Tahoma" w:hAnsi="Tahoma" w:cs="Tahoma"/>
          <w:sz w:val="18"/>
        </w:rPr>
      </w:pPr>
      <w:r>
        <w:rPr>
          <w:rFonts w:cs="Tahoma" w:ascii="Tahoma" w:hAnsi="Tahoma"/>
          <w:sz w:val="18"/>
        </w:rPr>
        <w:t>Archiving will not be a supported feature of Outlook 2000.</w:t>
      </w:r>
    </w:p>
    <w:p>
      <w:pPr>
        <w:pStyle w:val="Normal"/>
        <w:ind w:end="36"/>
        <w:rPr>
          <w:rFonts w:ascii="Tahoma" w:hAnsi="Tahoma" w:cs="Tahoma"/>
          <w:sz w:val="14"/>
        </w:rPr>
      </w:pPr>
      <w:r>
        <w:rPr>
          <w:rFonts w:cs="Tahoma" w:ascii="Tahoma" w:hAnsi="Tahoma"/>
          <w:sz w:val="14"/>
        </w:rPr>
      </w:r>
    </w:p>
    <w:p>
      <w:pPr>
        <w:pStyle w:val="Normal"/>
        <w:ind w:end="36"/>
        <w:rPr>
          <w:rFonts w:ascii="Tahoma" w:hAnsi="Tahoma" w:cs="Tahoma"/>
          <w:sz w:val="14"/>
        </w:rPr>
      </w:pPr>
      <w:r>
        <w:rPr>
          <w:rFonts w:cs="Tahoma" w:ascii="Tahoma" w:hAnsi="Tahoma"/>
          <w:sz w:val="14"/>
        </w:rPr>
      </w:r>
    </w:p>
    <w:p>
      <w:pPr>
        <w:pStyle w:val="Normal"/>
        <w:ind w:end="36"/>
        <w:rPr>
          <w:rFonts w:ascii="Arial" w:hAnsi="Arial" w:cs="Arial"/>
          <w:i/>
          <w:i/>
          <w:iCs/>
          <w:color w:val="FF0000"/>
          <w:sz w:val="28"/>
        </w:rPr>
      </w:pPr>
      <w:r>
        <w:rPr>
          <w:rFonts w:cs="Arial" w:ascii="Arial" w:hAnsi="Arial"/>
          <w:b/>
          <w:bCs/>
          <w:i/>
          <w:iCs/>
          <w:color w:val="FF0000"/>
          <w:sz w:val="28"/>
        </w:rPr>
        <w:t>Migration Preparation</w:t>
      </w:r>
      <w:r>
        <w:rPr>
          <w:rFonts w:cs="Arial" w:ascii="Arial" w:hAnsi="Arial"/>
          <w:color w:val="FF0000"/>
          <w:sz w:val="18"/>
        </w:rPr>
        <w:t>_________________________________</w:t>
        <w:softHyphen/>
        <w:softHyphen/>
        <w:softHyphen/>
        <w:softHyphen/>
        <w:softHyphen/>
        <w:softHyphen/>
        <w:softHyphen/>
        <w:softHyphen/>
        <w:softHyphen/>
        <w:softHyphen/>
        <w:softHyphen/>
        <w:softHyphen/>
        <w:softHyphen/>
        <w:softHyphen/>
        <w:softHyphen/>
        <w:softHyphen/>
        <w:softHyphen/>
        <w:softHyphen/>
        <w:softHyphen/>
        <w:softHyphen/>
        <w:softHyphen/>
        <w:t>__________________________________________</w:t>
      </w:r>
    </w:p>
    <w:p>
      <w:pPr>
        <w:pStyle w:val="Normal"/>
        <w:ind w:end="36"/>
        <w:rPr>
          <w:rFonts w:ascii="Tahoma" w:hAnsi="Tahoma" w:cs="Tahoma"/>
          <w:i/>
          <w:i/>
          <w:iCs/>
          <w:color w:val="FF0000"/>
          <w:sz w:val="18"/>
        </w:rPr>
      </w:pPr>
      <w:r>
        <w:rPr>
          <w:rFonts w:cs="Tahoma" w:ascii="Tahoma" w:hAnsi="Tahoma"/>
          <w:i/>
          <w:iCs/>
          <w:color w:val="FF0000"/>
          <w:sz w:val="18"/>
        </w:rPr>
      </w:r>
    </w:p>
    <w:p>
      <w:pPr>
        <w:pStyle w:val="Heading2"/>
        <w:rPr/>
      </w:pPr>
      <w:r>
        <w:rPr/>
        <w:t>Clean Your Mailbox</w:t>
      </w:r>
    </w:p>
    <w:p>
      <w:pPr>
        <w:pStyle w:val="Normal"/>
        <w:ind w:end="36"/>
        <w:rPr>
          <w:rFonts w:ascii="Tahoma" w:hAnsi="Tahoma" w:cs="Tahoma"/>
          <w:sz w:val="18"/>
        </w:rPr>
      </w:pPr>
      <w:r>
        <w:rPr>
          <w:rFonts w:cs="Tahoma" w:ascii="Tahoma" w:hAnsi="Tahoma"/>
          <w:sz w:val="18"/>
        </w:rPr>
        <w:t>Due to new space limitations on your mailbox, you are advised to clean your Notes mailbox of old, unneeded messages BEFORE migration.  If you are at the 100MB limit on the day of migration, you will not be able to send messages once you are on Outlook.</w:t>
      </w:r>
    </w:p>
    <w:p>
      <w:pPr>
        <w:pStyle w:val="Normal"/>
        <w:ind w:end="36"/>
        <w:rPr>
          <w:rFonts w:ascii="Tahoma" w:hAnsi="Tahoma" w:cs="Tahoma"/>
          <w:sz w:val="18"/>
        </w:rPr>
      </w:pPr>
      <w:r>
        <w:rPr>
          <w:rFonts w:cs="Tahoma" w:ascii="Tahoma" w:hAnsi="Tahoma"/>
          <w:sz w:val="18"/>
        </w:rPr>
      </w:r>
    </w:p>
    <w:p>
      <w:pPr>
        <w:pStyle w:val="Heading2"/>
        <w:rPr/>
      </w:pPr>
      <w:r>
        <w:rPr/>
        <w:t>Limits on Items Migrated</w:t>
      </w:r>
    </w:p>
    <w:p>
      <w:pPr>
        <w:pStyle w:val="Normal"/>
        <w:ind w:end="36"/>
        <w:rPr>
          <w:rFonts w:ascii="Tahoma" w:hAnsi="Tahoma" w:cs="Tahoma"/>
          <w:sz w:val="18"/>
        </w:rPr>
      </w:pPr>
      <w:r>
        <w:rPr>
          <w:rFonts w:cs="Tahoma" w:ascii="Tahoma" w:hAnsi="Tahoma"/>
          <w:sz w:val="18"/>
        </w:rPr>
        <w:t>From the day of your migration, only 30 days of old mail will be migrated from your mailbox.  This includes mail in your inbox and other folders.  Calendar items dating back one year from the day of migration will be migrated.</w:t>
      </w:r>
    </w:p>
    <w:p>
      <w:pPr>
        <w:pStyle w:val="Normal"/>
        <w:ind w:end="36"/>
        <w:rPr>
          <w:rFonts w:ascii="Tahoma" w:hAnsi="Tahoma" w:cs="Tahoma"/>
          <w:sz w:val="18"/>
        </w:rPr>
      </w:pPr>
      <w:r>
        <w:rPr>
          <w:rFonts w:cs="Tahoma" w:ascii="Tahoma" w:hAnsi="Tahoma"/>
          <w:sz w:val="18"/>
        </w:rPr>
      </w:r>
    </w:p>
    <w:p>
      <w:pPr>
        <w:pStyle w:val="Heading2"/>
        <w:rPr/>
      </w:pPr>
      <w:r>
        <w:rPr/>
        <w:t>READ Your Email</w:t>
      </w:r>
    </w:p>
    <w:p>
      <w:pPr>
        <w:pStyle w:val="Normal"/>
        <w:ind w:end="36"/>
        <w:rPr>
          <w:rFonts w:ascii="Tahoma" w:hAnsi="Tahoma" w:cs="Tahoma"/>
          <w:sz w:val="18"/>
        </w:rPr>
      </w:pPr>
      <w:r>
        <w:rPr>
          <w:rFonts w:cs="Tahoma" w:ascii="Tahoma" w:hAnsi="Tahoma"/>
          <w:sz w:val="18"/>
        </w:rPr>
        <w:t>This is very important.  Watch your inbox for messages from the Outlook Migration Team explaining the migration process and what you need to do to insure a successful migration.</w:t>
      </w:r>
    </w:p>
    <w:p>
      <w:pPr>
        <w:pStyle w:val="Normal"/>
        <w:ind w:end="36"/>
        <w:rPr>
          <w:rFonts w:ascii="Tahoma" w:hAnsi="Tahoma" w:cs="Tahoma"/>
          <w:sz w:val="18"/>
        </w:rPr>
      </w:pPr>
      <w:r>
        <w:rPr>
          <w:rFonts w:cs="Tahoma" w:ascii="Tahoma" w:hAnsi="Tahoma"/>
          <w:sz w:val="18"/>
        </w:rPr>
      </w:r>
    </w:p>
    <w:p>
      <w:pPr>
        <w:pStyle w:val="Heading2"/>
        <w:ind w:firstLine="540" w:end="36"/>
        <w:rPr/>
      </w:pPr>
      <w:r>
        <w:rPr/>
        <w:t>Complete the Questionnaire</w:t>
      </w:r>
    </w:p>
    <w:p>
      <w:pPr>
        <w:pStyle w:val="Normal"/>
        <w:ind w:start="540" w:end="36"/>
        <w:rPr>
          <w:rFonts w:ascii="Tahoma" w:hAnsi="Tahoma" w:cs="Tahoma"/>
          <w:sz w:val="18"/>
        </w:rPr>
      </w:pPr>
      <w:r>
        <w:rPr>
          <w:rFonts w:cs="Tahoma" w:ascii="Tahoma" w:hAnsi="Tahoma"/>
          <w:sz w:val="18"/>
        </w:rPr>
        <w:t>Provide us with necessary information by completing the email survey.</w:t>
      </w:r>
    </w:p>
    <w:p>
      <w:pPr>
        <w:pStyle w:val="Normal"/>
        <w:ind w:start="540" w:end="36"/>
        <w:rPr>
          <w:rFonts w:ascii="Tahoma" w:hAnsi="Tahoma" w:cs="Tahoma"/>
          <w:sz w:val="18"/>
        </w:rPr>
      </w:pPr>
      <w:r>
        <w:rPr>
          <w:rFonts w:cs="Tahoma" w:ascii="Tahoma" w:hAnsi="Tahoma"/>
          <w:sz w:val="18"/>
        </w:rPr>
      </w:r>
    </w:p>
    <w:p>
      <w:pPr>
        <w:pStyle w:val="Heading2"/>
        <w:ind w:firstLine="540" w:end="36"/>
        <w:rPr/>
      </w:pPr>
      <w:r>
        <w:rPr/>
        <w:t>Push Our Buttons</w:t>
      </w:r>
    </w:p>
    <w:p>
      <w:pPr>
        <w:pStyle w:val="Normal"/>
        <w:ind w:start="540" w:end="36"/>
        <w:rPr>
          <w:rFonts w:ascii="Tahoma" w:hAnsi="Tahoma" w:cs="Tahoma"/>
          <w:sz w:val="18"/>
        </w:rPr>
      </w:pPr>
      <w:r>
        <w:rPr>
          <w:rFonts w:cs="Tahoma" w:ascii="Tahoma" w:hAnsi="Tahoma"/>
          <w:sz w:val="18"/>
        </w:rPr>
        <w:t>One of the emails you will receive from the Outlook Migration Team will require action on your part.  As close to your date and time of migration, you will need to click a series of buttons within the email so your personal address book, journal entries and private folders will be converted and available to you in Outlook.</w:t>
      </w:r>
    </w:p>
    <w:p>
      <w:pPr>
        <w:pStyle w:val="Normal"/>
        <w:ind w:start="540" w:end="36"/>
        <w:rPr>
          <w:rFonts w:ascii="Tahoma" w:hAnsi="Tahoma" w:cs="Tahoma"/>
          <w:sz w:val="18"/>
        </w:rPr>
      </w:pPr>
      <w:r>
        <w:rPr>
          <w:rFonts w:cs="Tahoma" w:ascii="Tahoma" w:hAnsi="Tahoma"/>
          <w:sz w:val="18"/>
        </w:rPr>
      </w:r>
    </w:p>
    <w:p>
      <w:pPr>
        <w:pStyle w:val="Heading2"/>
        <w:ind w:firstLine="540" w:end="36"/>
        <w:rPr/>
      </w:pPr>
      <w:r>
        <w:rPr/>
        <w:t>Print the Outlook Web Access (OWA) Email</w:t>
      </w:r>
    </w:p>
    <w:p>
      <w:pPr>
        <w:pStyle w:val="Normal"/>
        <w:ind w:start="540" w:end="36"/>
        <w:rPr>
          <w:rFonts w:ascii="Tahoma" w:hAnsi="Tahoma" w:cs="Tahoma"/>
          <w:sz w:val="18"/>
        </w:rPr>
      </w:pPr>
      <w:r>
        <w:rPr>
          <w:rFonts w:cs="Tahoma" w:ascii="Tahoma" w:hAnsi="Tahoma"/>
          <w:sz w:val="18"/>
        </w:rPr>
        <w:t>In the event you have been migrated and Outlook is not ready for use, you will be able to access your mail via your web browser (Internet Explorer 5).  The final email you receive explains how to access OWA, so please PRINT this email and have it available the morning you are migrated.</w:t>
      </w:r>
    </w:p>
    <w:p>
      <w:pPr>
        <w:pStyle w:val="Normal"/>
        <w:ind w:end="36"/>
        <w:rPr>
          <w:rFonts w:ascii="Tahoma" w:hAnsi="Tahoma" w:cs="Tahoma"/>
          <w:sz w:val="14"/>
        </w:rPr>
      </w:pPr>
      <w:r>
        <w:rPr>
          <w:rFonts w:cs="Tahoma" w:ascii="Tahoma" w:hAnsi="Tahoma"/>
          <w:sz w:val="14"/>
        </w:rPr>
      </w:r>
    </w:p>
    <w:p>
      <w:pPr>
        <w:pStyle w:val="Normal"/>
        <w:ind w:end="36"/>
        <w:rPr>
          <w:rFonts w:ascii="Tahoma" w:hAnsi="Tahoma" w:cs="Tahoma"/>
          <w:sz w:val="14"/>
        </w:rPr>
      </w:pPr>
      <w:r>
        <w:rPr>
          <w:rFonts w:cs="Tahoma" w:ascii="Tahoma" w:hAnsi="Tahoma"/>
          <w:sz w:val="14"/>
        </w:rPr>
      </w:r>
    </w:p>
    <w:p>
      <w:pPr>
        <w:pStyle w:val="Normal"/>
        <w:ind w:end="36"/>
        <w:rPr/>
      </w:pPr>
      <w:r>
        <w:rPr>
          <w:rFonts w:cs="Arial" w:ascii="Arial" w:hAnsi="Arial"/>
          <w:b/>
          <w:bCs/>
          <w:i/>
          <w:iCs/>
          <w:color w:val="FF0000"/>
          <w:sz w:val="28"/>
        </w:rPr>
        <w:t>Training</w:t>
      </w:r>
      <w:r>
        <w:rPr>
          <w:rFonts w:cs="Arial" w:ascii="Arial" w:hAnsi="Arial"/>
          <w:color w:val="FF0000"/>
          <w:sz w:val="18"/>
        </w:rPr>
        <w:t>_____________________________________________________________________________________________</w:t>
      </w:r>
    </w:p>
    <w:p>
      <w:pPr>
        <w:pStyle w:val="Normal"/>
        <w:ind w:end="36"/>
        <w:rPr>
          <w:rFonts w:ascii="Tahoma" w:hAnsi="Tahoma" w:cs="Tahoma"/>
          <w:color w:val="FF0000"/>
          <w:sz w:val="18"/>
        </w:rPr>
      </w:pPr>
      <w:r>
        <w:rPr>
          <w:rFonts w:cs="Tahoma" w:ascii="Tahoma" w:hAnsi="Tahoma"/>
          <w:color w:val="FF0000"/>
          <w:sz w:val="18"/>
        </w:rPr>
      </w:r>
    </w:p>
    <w:p>
      <w:pPr>
        <w:pStyle w:val="Heading2"/>
        <w:rPr/>
      </w:pPr>
      <w:r>
        <w:rPr/>
        <w:t>Schedule a Class</w:t>
      </w:r>
    </w:p>
    <w:p>
      <w:pPr>
        <w:pStyle w:val="Normal"/>
        <w:ind w:end="36"/>
        <w:rPr>
          <w:rFonts w:ascii="Tahoma" w:hAnsi="Tahoma" w:cs="Tahoma"/>
          <w:sz w:val="18"/>
        </w:rPr>
      </w:pPr>
      <w:r>
        <w:rPr>
          <w:rFonts w:cs="Tahoma" w:ascii="Tahoma" w:hAnsi="Tahoma"/>
          <w:sz w:val="18"/>
        </w:rPr>
        <w:t>We highly recommend you take advantage of the training provided for Outlook before you are migrated.  To schedule a class, please call ext. 3-1816.  Please note:  Outlook classes are not available through the Technology Training web site.</w:t>
      </w:r>
    </w:p>
    <w:p>
      <w:pPr>
        <w:pStyle w:val="Normal"/>
        <w:ind w:end="36"/>
        <w:rPr>
          <w:rFonts w:ascii="Tahoma" w:hAnsi="Tahoma" w:cs="Tahoma"/>
          <w:sz w:val="18"/>
        </w:rPr>
      </w:pPr>
      <w:r>
        <w:rPr>
          <w:rFonts w:cs="Tahoma" w:ascii="Tahoma" w:hAnsi="Tahoma"/>
          <w:sz w:val="18"/>
        </w:rPr>
      </w:r>
    </w:p>
    <w:p>
      <w:pPr>
        <w:pStyle w:val="Normal"/>
        <w:ind w:end="36"/>
        <w:rPr>
          <w:rFonts w:ascii="Tahoma" w:hAnsi="Tahoma" w:cs="Tahoma"/>
          <w:sz w:val="18"/>
        </w:rPr>
      </w:pPr>
      <w:r>
        <w:rPr>
          <w:rFonts w:cs="Tahoma" w:ascii="Tahoma" w:hAnsi="Tahoma"/>
          <w:sz w:val="18"/>
        </w:rPr>
      </w:r>
    </w:p>
    <w:p>
      <w:pPr>
        <w:pStyle w:val="Normal"/>
        <w:ind w:end="36"/>
        <w:rPr>
          <w:rFonts w:ascii="Tahoma" w:hAnsi="Tahoma" w:cs="Tahoma"/>
          <w:sz w:val="18"/>
        </w:rPr>
      </w:pPr>
      <w:r>
        <w:rPr>
          <w:rFonts w:cs="Tahoma" w:ascii="Tahoma" w:hAnsi="Tahoma"/>
          <w:sz w:val="18"/>
        </w:rPr>
        <w:drawing>
          <wp:inline distT="0" distB="0" distL="0" distR="0">
            <wp:extent cx="6671945" cy="33845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97" r="-5" b="-97"/>
                    <a:stretch>
                      <a:fillRect/>
                    </a:stretch>
                  </pic:blipFill>
                  <pic:spPr bwMode="auto">
                    <a:xfrm>
                      <a:off x="0" y="0"/>
                      <a:ext cx="6671945" cy="338455"/>
                    </a:xfrm>
                    <a:prstGeom prst="rect">
                      <a:avLst/>
                    </a:prstGeom>
                    <a:noFill/>
                  </pic:spPr>
                </pic:pic>
              </a:graphicData>
            </a:graphic>
          </wp:inline>
        </w:drawing>
      </w:r>
    </w:p>
    <w:sectPr>
      <w:type w:val="nextPage"/>
      <w:pgSz w:w="12240" w:h="15840"/>
      <w:pgMar w:left="864" w:right="864"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ind w:hanging="0" w:start="0" w:end="36"/>
      <w:outlineLvl w:val="1"/>
    </w:pPr>
    <w:rPr>
      <w:rFonts w:ascii="Tahoma" w:hAnsi="Tahoma" w:cs="Tahoma"/>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ahoma" w:hAnsi="Tahoma" w:cs="Tahoma"/>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2001-01-23T14:09:00Z</dcterms:created>
  <dc:creator>David Brehan</dc:creator>
  <dc:description/>
  <dc:language>en-CA</dc:language>
  <cp:lastModifiedBy>David Brehan</cp:lastModifiedBy>
  <cp:lastPrinted>2001-01-23T10:08:00Z</cp:lastPrinted>
  <dcterms:modified xsi:type="dcterms:W3CDTF">2001-02-08T16:47:00Z</dcterms:modified>
  <cp:revision>3</cp:revision>
  <dc:subject/>
  <dc:title>Email Policies_______________________________________________________</dc:title>
</cp:coreProperties>
</file>