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1139190" cy="11347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139190" cy="1134745"/>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tbl>
      <w:tblPr>
        <w:tblW w:w="10398" w:type="dxa"/>
        <w:jc w:val="start"/>
        <w:tblInd w:w="200" w:type="dxa"/>
        <w:tblLayout w:type="fixed"/>
        <w:tblCellMar>
          <w:top w:w="0" w:type="dxa"/>
          <w:start w:w="108" w:type="dxa"/>
          <w:bottom w:w="0" w:type="dxa"/>
          <w:end w:w="108" w:type="dxa"/>
        </w:tblCellMar>
      </w:tblPr>
      <w:tblGrid>
        <w:gridCol w:w="708"/>
        <w:gridCol w:w="5140"/>
        <w:gridCol w:w="990"/>
        <w:gridCol w:w="90"/>
        <w:gridCol w:w="3470"/>
      </w:tblGrid>
      <w:tr>
        <w:trPr>
          <w:trHeight w:val="300" w:hRule="exact"/>
        </w:trPr>
        <w:tc>
          <w:tcPr>
            <w:tcW w:w="708" w:type="dxa"/>
            <w:tcBorders/>
          </w:tcPr>
          <w:p>
            <w:pPr>
              <w:pStyle w:val="Normal"/>
              <w:ind w:start="-180" w:end="0"/>
              <w:jc w:val="end"/>
              <w:rPr>
                <w:sz w:val="16"/>
              </w:rPr>
            </w:pPr>
            <w:r>
              <w:rPr>
                <w:sz w:val="16"/>
              </w:rPr>
              <w:t>To:</w:t>
            </w:r>
          </w:p>
        </w:tc>
        <w:tc>
          <w:tcPr>
            <w:tcW w:w="5140" w:type="dxa"/>
            <w:tcBorders/>
          </w:tcPr>
          <w:p>
            <w:pPr>
              <w:pStyle w:val="To"/>
              <w:rPr>
                <w:rFonts w:ascii="Times New Roman" w:hAnsi="Times New Roman" w:cs="Times New Roman"/>
                <w:sz w:val="24"/>
              </w:rPr>
            </w:pPr>
            <w:r>
              <w:rPr>
                <w:rFonts w:cs="Times New Roman" w:ascii="Times New Roman" w:hAnsi="Times New Roman"/>
                <w:sz w:val="24"/>
              </w:rPr>
              <w:t xml:space="preserve">Michael Brown, John Sherriff, Steve Kean </w:t>
            </w:r>
          </w:p>
        </w:tc>
        <w:tc>
          <w:tcPr>
            <w:tcW w:w="990" w:type="dxa"/>
            <w:tcBorders/>
          </w:tcPr>
          <w:p>
            <w:pPr>
              <w:pStyle w:val="Normal"/>
              <w:snapToGrid w:val="false"/>
              <w:ind w:start="-180" w:end="0"/>
              <w:rPr>
                <w:rFonts w:ascii="Times New Roman" w:hAnsi="Times New Roman" w:cs="Times New Roman"/>
                <w:sz w:val="24"/>
              </w:rPr>
            </w:pPr>
            <w:r>
              <w:rPr>
                <w:rFonts w:cs="Times New Roman" w:ascii="Times New Roman" w:hAnsi="Times New Roman"/>
                <w:sz w:val="24"/>
              </w:rPr>
            </w:r>
          </w:p>
        </w:tc>
        <w:tc>
          <w:tcPr>
            <w:tcW w:w="3560" w:type="dxa"/>
            <w:gridSpan w:val="2"/>
            <w:tcBorders/>
          </w:tcPr>
          <w:p>
            <w:pPr>
              <w:pStyle w:val="Normal"/>
              <w:snapToGrid w:val="false"/>
              <w:rPr/>
            </w:pPr>
            <w:r>
              <w:rPr/>
            </w:r>
          </w:p>
        </w:tc>
      </w:tr>
      <w:tr>
        <w:trPr>
          <w:trHeight w:val="90" w:hRule="exact"/>
        </w:trPr>
        <w:tc>
          <w:tcPr>
            <w:tcW w:w="708" w:type="dxa"/>
            <w:tcBorders/>
          </w:tcPr>
          <w:p>
            <w:pPr>
              <w:pStyle w:val="Normal"/>
              <w:snapToGrid w:val="false"/>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Normal"/>
              <w:snapToGrid w:val="false"/>
              <w:rPr>
                <w:sz w:val="18"/>
              </w:rPr>
            </w:pPr>
            <w:r>
              <w:rPr>
                <w:sz w:val="18"/>
              </w:rPr>
            </w:r>
          </w:p>
        </w:tc>
      </w:tr>
      <w:tr>
        <w:trPr>
          <w:trHeight w:val="540" w:hRule="exact"/>
        </w:trPr>
        <w:tc>
          <w:tcPr>
            <w:tcW w:w="708" w:type="dxa"/>
            <w:tcBorders/>
          </w:tcPr>
          <w:p>
            <w:pPr>
              <w:pStyle w:val="Normal"/>
              <w:jc w:val="end"/>
              <w:rPr>
                <w:sz w:val="16"/>
              </w:rPr>
            </w:pPr>
            <w:r>
              <w:rPr>
                <w:sz w:val="16"/>
              </w:rPr>
              <w:t>From:</w:t>
            </w:r>
          </w:p>
        </w:tc>
        <w:tc>
          <w:tcPr>
            <w:tcW w:w="5140" w:type="dxa"/>
            <w:tcBorders/>
          </w:tcPr>
          <w:p>
            <w:pPr>
              <w:pStyle w:val="From"/>
              <w:rPr>
                <w:rFonts w:ascii="Times New Roman" w:hAnsi="Times New Roman" w:cs="Times New Roman"/>
                <w:sz w:val="24"/>
              </w:rPr>
            </w:pPr>
            <w:r>
              <w:rPr>
                <w:rFonts w:cs="Times New Roman" w:ascii="Times New Roman" w:hAnsi="Times New Roman"/>
                <w:sz w:val="24"/>
              </w:rPr>
              <w:t>Mark C Schroeder</w:t>
            </w:r>
          </w:p>
        </w:tc>
        <w:tc>
          <w:tcPr>
            <w:tcW w:w="1080" w:type="dxa"/>
            <w:gridSpan w:val="2"/>
            <w:tcBorders/>
          </w:tcPr>
          <w:p>
            <w:pPr>
              <w:pStyle w:val="Normal"/>
              <w:ind w:start="-180" w:end="0"/>
              <w:rPr>
                <w:sz w:val="16"/>
              </w:rPr>
            </w:pPr>
            <w:r>
              <w:rPr>
                <w:rFonts w:eastAsia="Arial"/>
                <w:sz w:val="16"/>
              </w:rPr>
              <w:t xml:space="preserve">   </w:t>
            </w:r>
            <w:r>
              <w:rPr>
                <w:sz w:val="16"/>
              </w:rPr>
              <w:t>Department:</w:t>
            </w:r>
          </w:p>
        </w:tc>
        <w:tc>
          <w:tcPr>
            <w:tcW w:w="3470" w:type="dxa"/>
            <w:tcBorders/>
          </w:tcPr>
          <w:p>
            <w:pPr>
              <w:pStyle w:val="Department"/>
              <w:rPr>
                <w:rFonts w:ascii="Times New Roman" w:hAnsi="Times New Roman" w:cs="Times New Roman"/>
                <w:sz w:val="24"/>
              </w:rPr>
            </w:pPr>
            <w:bookmarkStart w:id="0" w:name="From"/>
            <w:bookmarkEnd w:id="0"/>
            <w:r>
              <w:rPr>
                <w:rFonts w:cs="Times New Roman" w:ascii="Times New Roman" w:hAnsi="Times New Roman"/>
                <w:sz w:val="24"/>
              </w:rPr>
              <w:t>Government &amp; Regulatory Affairs Europe</w:t>
            </w:r>
          </w:p>
          <w:p>
            <w:pPr>
              <w:pStyle w:val="Department"/>
              <w:rPr>
                <w:rFonts w:ascii="Times New Roman" w:hAnsi="Times New Roman" w:cs="Times New Roman"/>
                <w:sz w:val="24"/>
              </w:rPr>
            </w:pPr>
            <w:r>
              <w:rPr>
                <w:rFonts w:cs="Times New Roman" w:ascii="Times New Roman" w:hAnsi="Times New Roman"/>
                <w:sz w:val="24"/>
              </w:rPr>
            </w:r>
          </w:p>
        </w:tc>
      </w:tr>
      <w:tr>
        <w:trPr>
          <w:trHeight w:val="90" w:hRule="exact"/>
        </w:trPr>
        <w:tc>
          <w:tcPr>
            <w:tcW w:w="708" w:type="dxa"/>
            <w:tcBorders/>
          </w:tcPr>
          <w:p>
            <w:pPr>
              <w:pStyle w:val="Normal"/>
              <w:snapToGrid w:val="false"/>
              <w:ind w:start="-180" w:end="0"/>
              <w:jc w:val="end"/>
              <w:rPr>
                <w:sz w:val="18"/>
              </w:rPr>
            </w:pPr>
            <w:r>
              <w:rPr>
                <w:sz w:val="18"/>
              </w:rPr>
            </w:r>
          </w:p>
        </w:tc>
        <w:tc>
          <w:tcPr>
            <w:tcW w:w="5140" w:type="dxa"/>
            <w:tcBorders/>
          </w:tcPr>
          <w:p>
            <w:pPr>
              <w:pStyle w:val="Normal"/>
              <w:snapToGrid w:val="false"/>
              <w:rPr>
                <w:sz w:val="18"/>
              </w:rPr>
            </w:pPr>
            <w:r>
              <w:rPr>
                <w:sz w:val="18"/>
              </w:rPr>
            </w:r>
          </w:p>
        </w:tc>
        <w:tc>
          <w:tcPr>
            <w:tcW w:w="1080" w:type="dxa"/>
            <w:gridSpan w:val="2"/>
            <w:tcBorders/>
          </w:tcPr>
          <w:p>
            <w:pPr>
              <w:pStyle w:val="Normal"/>
              <w:snapToGrid w:val="false"/>
              <w:ind w:start="-180" w:end="0"/>
              <w:rPr>
                <w:sz w:val="18"/>
              </w:rPr>
            </w:pPr>
            <w:r>
              <w:rPr>
                <w:sz w:val="18"/>
              </w:rPr>
            </w:r>
          </w:p>
        </w:tc>
        <w:tc>
          <w:tcPr>
            <w:tcW w:w="3470" w:type="dxa"/>
            <w:tcBorders/>
          </w:tcPr>
          <w:p>
            <w:pPr>
              <w:pStyle w:val="Footer"/>
              <w:tabs>
                <w:tab w:val="clear" w:pos="4320"/>
                <w:tab w:val="clear" w:pos="8640"/>
                <w:tab w:val="left" w:pos="540" w:leader="none"/>
              </w:tabs>
              <w:snapToGrid w:val="false"/>
              <w:rPr>
                <w:rFonts w:ascii="Times New Roman" w:hAnsi="Times New Roman" w:cs="Times New Roman"/>
                <w:sz w:val="18"/>
              </w:rPr>
            </w:pPr>
            <w:r>
              <w:rPr>
                <w:rFonts w:cs="Times New Roman" w:ascii="Times New Roman" w:hAnsi="Times New Roman"/>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5140" w:type="dxa"/>
            <w:tcBorders>
              <w:bottom w:val="single" w:sz="12" w:space="0" w:color="000000"/>
            </w:tcBorders>
          </w:tcPr>
          <w:p>
            <w:pPr>
              <w:pStyle w:val="Subject"/>
              <w:snapToGrid w:val="false"/>
              <w:rPr>
                <w:rFonts w:ascii="Times New Roman" w:hAnsi="Times New Roman" w:cs="Times New Roman"/>
                <w:sz w:val="24"/>
              </w:rPr>
            </w:pPr>
            <w:r>
              <w:rPr>
                <w:rFonts w:cs="Times New Roman" w:ascii="Times New Roman" w:hAnsi="Times New Roman"/>
                <w:sz w:val="24"/>
              </w:rPr>
            </w:r>
          </w:p>
        </w:tc>
        <w:tc>
          <w:tcPr>
            <w:tcW w:w="1080" w:type="dxa"/>
            <w:gridSpan w:val="2"/>
            <w:tcBorders>
              <w:bottom w:val="single" w:sz="12" w:space="0" w:color="000000"/>
            </w:tcBorders>
          </w:tcPr>
          <w:p>
            <w:pPr>
              <w:pStyle w:val="Normal"/>
              <w:ind w:start="-180" w:end="0"/>
              <w:rPr>
                <w:sz w:val="16"/>
              </w:rPr>
            </w:pPr>
            <w:r>
              <w:rPr>
                <w:rFonts w:eastAsia="Arial"/>
                <w:sz w:val="16"/>
              </w:rPr>
              <w:t xml:space="preserve">   </w:t>
            </w:r>
            <w:r>
              <w:rPr>
                <w:sz w:val="16"/>
              </w:rPr>
              <w:t>Date:</w:t>
            </w:r>
          </w:p>
        </w:tc>
        <w:tc>
          <w:tcPr>
            <w:tcW w:w="3470" w:type="dxa"/>
            <w:tcBorders>
              <w:bottom w:val="single" w:sz="12" w:space="0" w:color="000000"/>
            </w:tcBorders>
          </w:tcPr>
          <w:p>
            <w:pPr>
              <w:pStyle w:val="Date"/>
              <w:rPr/>
            </w:pPr>
            <w:r>
              <w:rPr>
                <w:rFonts w:cs="Times New Roman" w:ascii="Times New Roman" w:hAnsi="Times New Roman"/>
                <w:sz w:val="24"/>
              </w:rPr>
              <w:t>Wednesday 4</w:t>
            </w:r>
            <w:r>
              <w:rPr>
                <w:rFonts w:cs="Times New Roman" w:ascii="Times New Roman" w:hAnsi="Times New Roman"/>
                <w:sz w:val="24"/>
                <w:vertAlign w:val="superscript"/>
              </w:rPr>
              <w:t>th</w:t>
            </w:r>
            <w:r>
              <w:rPr>
                <w:rFonts w:cs="Times New Roman" w:ascii="Times New Roman" w:hAnsi="Times New Roman"/>
                <w:sz w:val="24"/>
              </w:rPr>
              <w:t xml:space="preserve"> April 2001</w:t>
            </w:r>
          </w:p>
        </w:tc>
      </w:tr>
    </w:tbl>
    <w:p>
      <w:pPr>
        <w:pStyle w:val="Body"/>
        <w:rPr/>
      </w:pPr>
      <w:r>
        <w:rPr/>
      </w:r>
      <w:bookmarkStart w:id="1" w:name="StartOfMemo"/>
      <w:bookmarkStart w:id="2" w:name="StartOfMemo"/>
      <w:bookmarkEnd w:id="2"/>
    </w:p>
    <w:p>
      <w:pPr>
        <w:pStyle w:val="Body"/>
        <w:rPr/>
      </w:pPr>
      <w:r>
        <w:rPr/>
      </w:r>
    </w:p>
    <w:p>
      <w:pPr>
        <w:pStyle w:val="Body"/>
        <w:rPr>
          <w:rFonts w:ascii="Times New Roman" w:hAnsi="Times New Roman" w:cs="Times New Roman"/>
          <w:sz w:val="24"/>
        </w:rPr>
      </w:pPr>
      <w:r>
        <w:rPr>
          <w:rFonts w:cs="Times New Roman" w:ascii="Times New Roman" w:hAnsi="Times New Roman"/>
          <w:sz w:val="24"/>
        </w:rPr>
        <w:t xml:space="preserve">This memo gives you my thought process for the organisational announcement, and notes a few areas where issues could arise.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2"/>
        </w:numPr>
        <w:rPr>
          <w:rFonts w:ascii="Times New Roman" w:hAnsi="Times New Roman" w:cs="Times New Roman"/>
          <w:sz w:val="24"/>
        </w:rPr>
      </w:pPr>
      <w:r>
        <w:rPr>
          <w:rFonts w:cs="Times New Roman" w:ascii="Times New Roman" w:hAnsi="Times New Roman"/>
          <w:sz w:val="24"/>
        </w:rPr>
        <w:t xml:space="preserve">Peter’s role in Brussels is obvious.  He is also intimately familiar with our Dutch litigation and the European Commission dimension, so Teun’s reporting to Peter seems a fit.  Jan Haizmann still requires some supervision in integrating into Enron (some “rough edges”), and, since Jan came to us from Brussels and has a network there to which he sometimes seeks access, this reporting line will firm out the implication that he is to coordinate with Peter, and seemingly give Peter expanded subject matter (broadband).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2"/>
        </w:numPr>
        <w:rPr>
          <w:rFonts w:ascii="Times New Roman" w:hAnsi="Times New Roman" w:cs="Times New Roman"/>
          <w:sz w:val="24"/>
        </w:rPr>
      </w:pPr>
      <w:r>
        <w:rPr>
          <w:rFonts w:cs="Times New Roman" w:ascii="Times New Roman" w:hAnsi="Times New Roman"/>
          <w:sz w:val="24"/>
        </w:rPr>
        <w:t xml:space="preserve">Paul Dawson shares my continuing concern with Alfredo’s need for improved (tighter) oral communication, and thus is most likely to continue to push Alfredo and development in this area, plus, substantively, Paul’s expertise will be relevant in plain, and should help Alfredo and add value in Italy.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2"/>
        </w:numPr>
        <w:rPr>
          <w:rFonts w:ascii="Times New Roman" w:hAnsi="Times New Roman" w:cs="Times New Roman"/>
          <w:sz w:val="24"/>
        </w:rPr>
      </w:pPr>
      <w:r>
        <w:rPr>
          <w:rFonts w:cs="Times New Roman" w:ascii="Times New Roman" w:hAnsi="Times New Roman"/>
          <w:sz w:val="24"/>
        </w:rPr>
        <w:t>Having Brendan report to Doug Wood will necessitate Brendan getting out of Brussels and to London, and seeing our business.  Brendan was to spend six months in London from 2</w:t>
      </w:r>
      <w:r>
        <w:rPr>
          <w:rFonts w:cs="Times New Roman" w:ascii="Times New Roman" w:hAnsi="Times New Roman"/>
          <w:sz w:val="24"/>
          <w:vertAlign w:val="superscript"/>
        </w:rPr>
        <w:t>nd</w:t>
      </w:r>
      <w:r>
        <w:rPr>
          <w:rFonts w:cs="Times New Roman" w:ascii="Times New Roman" w:hAnsi="Times New Roman"/>
          <w:sz w:val="24"/>
        </w:rPr>
        <w:t xml:space="preserve"> April 2001 but family medical reasons now prelude that.  He is an expert in competition law, in the energy field and has handled competition issues in four languages other than English, so he should be an asset to gas TPA efforts.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2"/>
        </w:numPr>
        <w:rPr>
          <w:rFonts w:ascii="Times New Roman" w:hAnsi="Times New Roman" w:cs="Times New Roman"/>
          <w:sz w:val="24"/>
        </w:rPr>
      </w:pPr>
      <w:r>
        <w:rPr>
          <w:rFonts w:cs="Times New Roman" w:ascii="Times New Roman" w:hAnsi="Times New Roman"/>
          <w:sz w:val="24"/>
        </w:rPr>
        <w:t xml:space="preserve">Paul Hennemeyer picks up Belgium and France, which effectively lines up the regulatory effort for the bilateral markets (of the EU, anyway) where Eric and Gregor collaborate. </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u w:val="single"/>
        </w:rPr>
      </w:pPr>
      <w:r>
        <w:rPr>
          <w:rFonts w:cs="Times New Roman" w:ascii="Times New Roman" w:hAnsi="Times New Roman"/>
          <w:sz w:val="24"/>
          <w:u w:val="single"/>
        </w:rPr>
        <w:t>Areas to Watch</w:t>
      </w:r>
    </w:p>
    <w:p>
      <w:pPr>
        <w:pStyle w:val="Body"/>
        <w:rPr>
          <w:rFonts w:ascii="Times New Roman" w:hAnsi="Times New Roman" w:cs="Times New Roman"/>
          <w:sz w:val="24"/>
          <w:u w:val="single"/>
        </w:rPr>
      </w:pPr>
      <w:r>
        <w:rPr>
          <w:rFonts w:cs="Times New Roman" w:ascii="Times New Roman" w:hAnsi="Times New Roman"/>
          <w:sz w:val="24"/>
          <w:u w:val="single"/>
        </w:rPr>
      </w:r>
    </w:p>
    <w:p>
      <w:pPr>
        <w:pStyle w:val="Body"/>
        <w:numPr>
          <w:ilvl w:val="0"/>
          <w:numId w:val="3"/>
        </w:numPr>
        <w:rPr>
          <w:rFonts w:ascii="Times New Roman" w:hAnsi="Times New Roman" w:cs="Times New Roman"/>
          <w:sz w:val="24"/>
        </w:rPr>
      </w:pPr>
      <w:r>
        <w:rPr>
          <w:rFonts w:cs="Times New Roman" w:ascii="Times New Roman" w:hAnsi="Times New Roman"/>
          <w:sz w:val="24"/>
        </w:rPr>
        <w:t xml:space="preserve">Monthly financial reporting - Would there be a head? Reports include everyone’s comp, which heretofor only I have seen.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3"/>
        </w:numPr>
        <w:rPr>
          <w:rFonts w:ascii="Times New Roman" w:hAnsi="Times New Roman" w:cs="Times New Roman"/>
          <w:sz w:val="24"/>
        </w:rPr>
      </w:pPr>
      <w:r>
        <w:rPr>
          <w:rFonts w:cs="Times New Roman" w:ascii="Times New Roman" w:hAnsi="Times New Roman"/>
          <w:sz w:val="24"/>
        </w:rPr>
        <w:t xml:space="preserve">Need to assure all invoices are processed and paid timely, and not passed around.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3"/>
        </w:numPr>
        <w:rPr>
          <w:rFonts w:ascii="Times New Roman" w:hAnsi="Times New Roman" w:cs="Times New Roman"/>
          <w:sz w:val="24"/>
        </w:rPr>
      </w:pPr>
      <w:r>
        <w:rPr>
          <w:rFonts w:cs="Times New Roman" w:ascii="Times New Roman" w:hAnsi="Times New Roman"/>
          <w:sz w:val="24"/>
        </w:rPr>
        <w:t xml:space="preserve">Consultancy, especially legal, is a big piece of this year’s budget.  Other than Peter and me, most of the group has not managed outside counsel much.  I have two competing, concerns.  One- broker direction/instruction of council, and Two- a seeming propensity by some (Peter, Jan Haizmann, Paul Hennemeyer) to them, want to reject outright or severely out invoices presented for payment.  I am all for cost control, but we risk erring  toward insult and alienation of firms that we count on in other areas. </w:t>
      </w:r>
    </w:p>
    <w:p>
      <w:pPr>
        <w:pStyle w:val="Body"/>
        <w:rPr>
          <w:rFonts w:ascii="Times New Roman" w:hAnsi="Times New Roman" w:cs="Times New Roman"/>
          <w:sz w:val="24"/>
        </w:rPr>
      </w:pPr>
      <w:r>
        <w:rPr>
          <w:rFonts w:cs="Times New Roman" w:ascii="Times New Roman" w:hAnsi="Times New Roman"/>
          <w:sz w:val="24"/>
        </w:rPr>
      </w:r>
    </w:p>
    <w:p>
      <w:pPr>
        <w:pStyle w:val="Body"/>
        <w:numPr>
          <w:ilvl w:val="0"/>
          <w:numId w:val="3"/>
        </w:numPr>
        <w:rPr>
          <w:rFonts w:ascii="Times New Roman" w:hAnsi="Times New Roman" w:cs="Times New Roman"/>
          <w:sz w:val="24"/>
        </w:rPr>
      </w:pPr>
      <w:r>
        <w:rPr>
          <w:rFonts w:cs="Times New Roman" w:ascii="Times New Roman" w:hAnsi="Times New Roman"/>
          <w:sz w:val="24"/>
        </w:rPr>
        <w:t xml:space="preserve">I have already discussed with George McClellan making some trips back to London while the family finishes the school year, and on these trips, as well as by e-mail I will make a point to make sure the transition goes as smoothly as possible. </w:t>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p>
      <w:pPr>
        <w:pStyle w:val="Body"/>
        <w:rPr>
          <w:rFonts w:ascii="Times New Roman" w:hAnsi="Times New Roman" w:cs="Times New Roman"/>
          <w:sz w:val="24"/>
        </w:rPr>
      </w:pPr>
      <w:r>
        <w:rPr>
          <w:rFonts w:cs="Times New Roman" w:ascii="Times New Roman" w:hAnsi="Times New Roman"/>
          <w:sz w:val="24"/>
        </w:rPr>
      </w:r>
    </w:p>
    <w:sectPr>
      <w:headerReference w:type="default" r:id="rId3"/>
      <w:headerReference w:type="first" r:id="rId4"/>
      <w:footerReference w:type="default" r:id="rId5"/>
      <w:footerReference w:type="first" r:id="rId6"/>
      <w:type w:val="nextPage"/>
      <w:pgSz w:w="11906" w:h="16838"/>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sz w:val="16"/>
      </w:rPr>
    </w:pPr>
    <w:r>
      <w:rPr>
        <w:b/>
        <w:sz w:val="16"/>
      </w:rPr>
      <w:t>Your Personal Best Makes Enron Best</w:t>
      <w:tab/>
      <w:t>Communicate- Facts Are Friendly</w:t>
      <w:tab/>
      <w:t>Better, Faster, Simpler</w:t>
    </w:r>
  </w:p>
  <w:p>
    <w:pPr>
      <w:pStyle w:val="Footer"/>
      <w:tabs>
        <w:tab w:val="clear" w:pos="4320"/>
        <w:tab w:val="left" w:pos="3780" w:leader="none"/>
        <w:tab w:val="center" w:pos="7560" w:leader="none"/>
        <w:tab w:val="right" w:pos="8640" w:leader="none"/>
        <w:tab w:val="right" w:pos="10800" w:leader="none"/>
      </w:tabs>
      <w:rPr>
        <w:b/>
        <w:sz w:val="16"/>
      </w:rPr>
    </w:pPr>
    <w:r>
      <w:rPr>
        <w:b/>
        <w:sz w:val="16"/>
      </w:rPr>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92"/>
        </w:tabs>
        <w:ind w:start="792" w:hanging="360"/>
      </w:pPr>
    </w:lvl>
  </w:abstractNum>
  <w:abstractNum w:abstractNumId="3">
    <w:lvl w:ilvl="0">
      <w:start w:val="1"/>
      <w:numFmt w:val="decimal"/>
      <w:lvlText w:val="%1)"/>
      <w:lvlJc w:val="start"/>
      <w:pPr>
        <w:tabs>
          <w:tab w:val="num" w:pos="792"/>
        </w:tabs>
        <w:ind w:start="792"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ENMEMO.DOT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2001-04-04T08:04:00Z</dcterms:created>
  <dc:creator>AKeenan</dc:creator>
  <dc:description/>
  <dc:language>en-CA</dc:language>
  <cp:lastModifiedBy>bashcrof</cp:lastModifiedBy>
  <cp:lastPrinted>2001-04-04T13:14:00Z</cp:lastPrinted>
  <dcterms:modified xsi:type="dcterms:W3CDTF">2001-04-04T09:44:00Z</dcterms:modified>
  <cp:revision>4</cp:revision>
  <dc:subject>Tractebel Meeting</dc:subject>
  <dc:title> </dc:title>
</cp:coreProperties>
</file>