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vantGarde" w:hAnsi="AvantGarde" w:cs="Tahoma"/>
          <w:sz w:val="22"/>
        </w:rPr>
      </w:pPr>
      <w:r>
        <w:rPr>
          <w:rFonts w:cs="Tahoma" w:ascii="AvantGarde" w:hAnsi="AvantGarde"/>
          <w:sz w:val="22"/>
        </w:rPr>
        <w:t>ENRON GOVERNMENT AFFAIRS</w:t>
      </w:r>
    </w:p>
    <w:p>
      <w:pPr>
        <w:pStyle w:val="Normal"/>
        <w:jc w:val="center"/>
        <w:rPr>
          <w:rFonts w:ascii="AvantGarde" w:hAnsi="AvantGarde" w:cs="Tahoma"/>
          <w:sz w:val="22"/>
        </w:rPr>
      </w:pPr>
      <w:r>
        <w:rPr>
          <w:rFonts w:cs="Tahoma" w:ascii="AvantGarde" w:hAnsi="AvantGarde"/>
          <w:sz w:val="22"/>
        </w:rPr>
        <w:t>TRAVEL POLICY</w:t>
      </w:r>
    </w:p>
    <w:p>
      <w:pPr>
        <w:pStyle w:val="Normal"/>
        <w:jc w:val="center"/>
        <w:rPr>
          <w:rFonts w:ascii="AvantGarde" w:hAnsi="AvantGarde" w:cs="Tahoma"/>
          <w:sz w:val="22"/>
        </w:rPr>
      </w:pPr>
      <w:r>
        <w:rPr>
          <w:rFonts w:cs="Tahoma" w:ascii="AvantGarde" w:hAnsi="AvantGarde"/>
          <w:sz w:val="22"/>
        </w:rPr>
        <w:t>As of April 12, 2001</w:t>
      </w:r>
    </w:p>
    <w:p>
      <w:pPr>
        <w:pStyle w:val="Normal"/>
        <w:jc w:val="both"/>
        <w:rPr>
          <w:rFonts w:ascii="AvantGarde" w:hAnsi="AvantGarde" w:cs="Tahoma"/>
          <w:sz w:val="22"/>
        </w:rPr>
      </w:pPr>
      <w:r>
        <w:rPr>
          <w:rFonts w:cs="Tahoma" w:ascii="AvantGarde" w:hAnsi="AvantGarde"/>
          <w:sz w:val="22"/>
        </w:rPr>
      </w:r>
    </w:p>
    <w:p>
      <w:pPr>
        <w:pStyle w:val="Normal"/>
        <w:jc w:val="both"/>
        <w:rPr>
          <w:rFonts w:ascii="AvantGarde" w:hAnsi="AvantGarde" w:cs="Tahoma"/>
          <w:sz w:val="22"/>
        </w:rPr>
      </w:pPr>
      <w:r>
        <w:rPr>
          <w:rFonts w:cs="Tahoma" w:ascii="AvantGarde" w:hAnsi="AvantGarde"/>
          <w:sz w:val="22"/>
        </w:rPr>
      </w:r>
    </w:p>
    <w:p>
      <w:pPr>
        <w:pStyle w:val="Heading2"/>
        <w:ind w:hanging="0" w:start="0"/>
        <w:rPr/>
      </w:pPr>
      <w:r>
        <w:rPr/>
        <w:t>NOTE</w:t>
      </w:r>
    </w:p>
    <w:p>
      <w:pPr>
        <w:pStyle w:val="Normal"/>
        <w:jc w:val="both"/>
        <w:rPr>
          <w:rFonts w:ascii="AvantGarde" w:hAnsi="AvantGarde" w:cs="Tahoma"/>
          <w:sz w:val="22"/>
        </w:rPr>
      </w:pPr>
      <w:r>
        <w:rPr>
          <w:rFonts w:cs="Tahoma" w:ascii="AvantGarde" w:hAnsi="AvantGarde"/>
          <w:sz w:val="22"/>
        </w:rPr>
        <w:t>The Enron Government Affairs Travel Policy outlined below should be used in conjunction with the Enron Corp. Business and Travel Expense Reimbursement Guidelines currently in effect.</w:t>
      </w:r>
    </w:p>
    <w:p>
      <w:pPr>
        <w:pStyle w:val="Normal"/>
        <w:jc w:val="both"/>
        <w:rPr>
          <w:rFonts w:ascii="AvantGarde" w:hAnsi="AvantGarde" w:cs="Tahoma"/>
          <w:sz w:val="22"/>
        </w:rPr>
      </w:pPr>
      <w:r>
        <w:rPr>
          <w:rFonts w:cs="Tahoma" w:ascii="AvantGarde" w:hAnsi="AvantGarde"/>
          <w:sz w:val="22"/>
        </w:rPr>
      </w:r>
    </w:p>
    <w:p>
      <w:pPr>
        <w:pStyle w:val="Heading1"/>
        <w:ind w:hanging="0" w:start="0"/>
        <w:rPr/>
      </w:pPr>
      <w:r>
        <w:rPr/>
        <w:t>AUTHORIZED EXPENSES</w:t>
      </w:r>
    </w:p>
    <w:p>
      <w:pPr>
        <w:pStyle w:val="Normal"/>
        <w:jc w:val="both"/>
        <w:rPr>
          <w:rFonts w:ascii="AvantGarde" w:hAnsi="AvantGarde" w:cs="Tahoma"/>
          <w:sz w:val="22"/>
        </w:rPr>
      </w:pPr>
      <w:r>
        <w:rPr>
          <w:rFonts w:cs="Tahoma" w:ascii="AvantGarde" w:hAnsi="AvantGarde"/>
          <w:sz w:val="22"/>
        </w:rPr>
      </w:r>
    </w:p>
    <w:p>
      <w:pPr>
        <w:pStyle w:val="Normal"/>
        <w:jc w:val="both"/>
        <w:rPr/>
      </w:pPr>
      <w:r>
        <w:rPr>
          <w:rFonts w:cs="Tahoma" w:ascii="AvantGarde" w:hAnsi="AvantGarde"/>
          <w:b/>
          <w:bCs/>
          <w:sz w:val="22"/>
        </w:rPr>
        <w:t xml:space="preserve">Travel </w:t>
      </w:r>
      <w:r>
        <w:rPr>
          <w:rFonts w:cs="Tahoma" w:ascii="AvantGarde" w:hAnsi="AvantGarde"/>
          <w:sz w:val="22"/>
        </w:rPr>
        <w:t>– Travel Agency in the Park (TAP) is the preferred travel agent for Enron.  All employees are required to use this travel agency when traveling on business.  TAP’s phone number is 713-650-8080 (web address:  http://www.travelpark.com).</w:t>
      </w:r>
    </w:p>
    <w:p>
      <w:pPr>
        <w:pStyle w:val="Normal"/>
        <w:jc w:val="both"/>
        <w:rPr>
          <w:rFonts w:ascii="AvantGarde" w:hAnsi="AvantGarde" w:cs="Tahoma"/>
          <w:sz w:val="22"/>
        </w:rPr>
      </w:pPr>
      <w:r>
        <w:rPr>
          <w:rFonts w:cs="Tahoma" w:ascii="AvantGarde" w:hAnsi="AvantGarde"/>
          <w:sz w:val="22"/>
        </w:rPr>
      </w:r>
    </w:p>
    <w:p>
      <w:pPr>
        <w:pStyle w:val="Normal"/>
        <w:jc w:val="both"/>
        <w:rPr>
          <w:rFonts w:ascii="AvantGarde" w:hAnsi="AvantGarde" w:cs="Tahoma"/>
          <w:sz w:val="22"/>
        </w:rPr>
      </w:pPr>
      <w:r>
        <w:rPr>
          <w:rFonts w:cs="Tahoma" w:ascii="AvantGarde" w:hAnsi="AvantGarde"/>
          <w:sz w:val="22"/>
        </w:rPr>
        <w:t>Employees should be reasonable in their travel arrangements and book as early as possible.  Coach ticketing is the required form of travel domestically.  Individuals traveling coach on International flights are eligible for 50% of the difference between coach and business class.  Wherever possible, staff should use discounted airfares for flights.  Reimbursement for any penalties arising from occasional missed flights is authorized.</w:t>
      </w:r>
    </w:p>
    <w:p>
      <w:pPr>
        <w:pStyle w:val="Normal"/>
        <w:jc w:val="both"/>
        <w:rPr>
          <w:rFonts w:ascii="AvantGarde" w:hAnsi="AvantGarde" w:cs="Tahoma"/>
          <w:sz w:val="22"/>
        </w:rPr>
      </w:pPr>
      <w:r>
        <w:rPr>
          <w:rFonts w:cs="Tahoma" w:ascii="AvantGarde" w:hAnsi="AvantGarde"/>
          <w:sz w:val="22"/>
        </w:rPr>
      </w:r>
    </w:p>
    <w:p>
      <w:pPr>
        <w:pStyle w:val="Normal"/>
        <w:jc w:val="both"/>
        <w:rPr/>
      </w:pPr>
      <w:r>
        <w:rPr>
          <w:rFonts w:cs="Tahoma" w:ascii="AvantGarde" w:hAnsi="AvantGarde"/>
          <w:b/>
          <w:bCs/>
          <w:sz w:val="22"/>
        </w:rPr>
        <w:t>Lodging</w:t>
      </w:r>
      <w:r>
        <w:rPr>
          <w:rFonts w:cs="Tahoma" w:ascii="AvantGarde" w:hAnsi="AvantGarde"/>
          <w:sz w:val="22"/>
        </w:rPr>
        <w:t xml:space="preserve"> – TAP is part of a Worldwide Preferred Hotel Program that offers Enron Corp. preferred hotel rates for reservations.  All employees must use preferred hotels where feasible.  The use of hotel telephones is discouraged.  Mobil phone and/or call cards should be used where possible.  The purchase of a daily newspaper is authorized and TV/movie and mini bar usage charges are at the supervisor’s discretion.</w:t>
      </w:r>
    </w:p>
    <w:p>
      <w:pPr>
        <w:pStyle w:val="Normal"/>
        <w:jc w:val="both"/>
        <w:rPr>
          <w:rFonts w:ascii="AvantGarde" w:hAnsi="AvantGarde" w:cs="Tahoma"/>
          <w:sz w:val="22"/>
        </w:rPr>
      </w:pPr>
      <w:r>
        <w:rPr>
          <w:rFonts w:cs="Tahoma" w:ascii="AvantGarde" w:hAnsi="AvantGarde"/>
          <w:sz w:val="22"/>
        </w:rPr>
      </w:r>
    </w:p>
    <w:p>
      <w:pPr>
        <w:pStyle w:val="Normal"/>
        <w:jc w:val="both"/>
        <w:rPr/>
      </w:pPr>
      <w:r>
        <w:rPr>
          <w:rFonts w:cs="Tahoma" w:ascii="AvantGarde" w:hAnsi="AvantGarde"/>
          <w:b/>
          <w:bCs/>
          <w:sz w:val="22"/>
        </w:rPr>
        <w:t>Meals</w:t>
      </w:r>
      <w:r>
        <w:rPr>
          <w:rFonts w:cs="Tahoma" w:ascii="AvantGarde" w:hAnsi="AvantGarde"/>
          <w:sz w:val="22"/>
        </w:rPr>
        <w:t xml:space="preserve"> – When more than one employee attends, the most senior employee pays.  Advance approval by a Vice President or Managing Director is required for corporate entertaining in excess of 60 people.  Overtime meals – an employee must work two hours overtime and have prior approval.</w:t>
      </w:r>
    </w:p>
    <w:p>
      <w:pPr>
        <w:pStyle w:val="Normal"/>
        <w:jc w:val="both"/>
        <w:rPr>
          <w:rFonts w:ascii="AvantGarde" w:hAnsi="AvantGarde" w:cs="Tahoma"/>
          <w:sz w:val="22"/>
        </w:rPr>
      </w:pPr>
      <w:r>
        <w:rPr>
          <w:rFonts w:cs="Tahoma" w:ascii="AvantGarde" w:hAnsi="AvantGarde"/>
          <w:sz w:val="22"/>
        </w:rPr>
      </w:r>
    </w:p>
    <w:p>
      <w:pPr>
        <w:pStyle w:val="Normal"/>
        <w:jc w:val="both"/>
        <w:rPr/>
      </w:pPr>
      <w:r>
        <w:rPr>
          <w:rFonts w:cs="Tahoma" w:ascii="AvantGarde" w:hAnsi="AvantGarde"/>
          <w:b/>
          <w:bCs/>
          <w:sz w:val="22"/>
        </w:rPr>
        <w:t>Business Entertainment</w:t>
      </w:r>
      <w:r>
        <w:rPr>
          <w:rFonts w:cs="Tahoma" w:ascii="AvantGarde" w:hAnsi="AvantGarde"/>
          <w:sz w:val="22"/>
        </w:rPr>
        <w:t xml:space="preserve"> – No lavish gifts or extravagant entertainment is allowed without prior supervisor approval.</w:t>
      </w:r>
    </w:p>
    <w:p>
      <w:pPr>
        <w:pStyle w:val="Normal"/>
        <w:jc w:val="both"/>
        <w:rPr>
          <w:rFonts w:ascii="AvantGarde" w:hAnsi="AvantGarde" w:cs="Tahoma"/>
          <w:sz w:val="22"/>
        </w:rPr>
      </w:pPr>
      <w:r>
        <w:rPr>
          <w:rFonts w:cs="Tahoma" w:ascii="AvantGarde" w:hAnsi="AvantGarde"/>
          <w:sz w:val="22"/>
        </w:rPr>
      </w:r>
    </w:p>
    <w:p>
      <w:pPr>
        <w:pStyle w:val="Normal"/>
        <w:jc w:val="both"/>
        <w:rPr/>
      </w:pPr>
      <w:r>
        <w:rPr>
          <w:rFonts w:cs="Tahoma" w:ascii="AvantGarde" w:hAnsi="AvantGarde"/>
          <w:b/>
          <w:bCs/>
          <w:sz w:val="22"/>
        </w:rPr>
        <w:t>Conference Attendance</w:t>
      </w:r>
      <w:r>
        <w:rPr>
          <w:rFonts w:cs="Tahoma" w:ascii="AvantGarde" w:hAnsi="AvantGarde"/>
          <w:sz w:val="22"/>
        </w:rPr>
        <w:t xml:space="preserve"> – All conference attendance must be pre-approved by the Direct Supervisor.</w:t>
      </w:r>
    </w:p>
    <w:p>
      <w:pPr>
        <w:pStyle w:val="Normal"/>
        <w:jc w:val="both"/>
        <w:rPr>
          <w:rFonts w:ascii="AvantGarde" w:hAnsi="AvantGarde" w:cs="Tahoma"/>
          <w:sz w:val="22"/>
        </w:rPr>
      </w:pPr>
      <w:r>
        <w:rPr>
          <w:rFonts w:cs="Tahoma" w:ascii="AvantGarde" w:hAnsi="AvantGarde"/>
          <w:sz w:val="22"/>
        </w:rPr>
      </w:r>
    </w:p>
    <w:p>
      <w:pPr>
        <w:pStyle w:val="Normal"/>
        <w:jc w:val="both"/>
        <w:rPr/>
      </w:pPr>
      <w:r>
        <w:rPr>
          <w:rFonts w:cs="Tahoma" w:ascii="AvantGarde" w:hAnsi="AvantGarde"/>
          <w:b/>
          <w:bCs/>
          <w:sz w:val="22"/>
        </w:rPr>
        <w:t>Car Rental</w:t>
      </w:r>
      <w:r>
        <w:rPr>
          <w:rFonts w:cs="Tahoma" w:ascii="AvantGarde" w:hAnsi="AvantGarde"/>
          <w:sz w:val="22"/>
        </w:rPr>
        <w:t xml:space="preserve"> – Rental car contracts for 2001 were awarded to National Car Rental (Primary) and Alamo Rent-A-Car (Secondary).  Employees are encouraged, when the need arises, to rent a car from one of these two providers.  To enjoy the highest level of service, it is recommended that each traveler enroll in National and Alamo’s preferred traveler programs.  Enrollment packets will be mailed to the addresses of Enron American Express T&amp;E Cardholders.  An enrollment form may also be found on the Enron Travel Program intranet @ gss.enron.com.  Please refer to the email message dated April 23, 2001 for additional information on car rental options for Enron travelers.</w:t>
      </w:r>
      <w:r>
        <w:br w:type="page"/>
      </w:r>
    </w:p>
    <w:p>
      <w:pPr>
        <w:pStyle w:val="Normal"/>
        <w:jc w:val="center"/>
        <w:rPr>
          <w:rFonts w:ascii="AvantGarde" w:hAnsi="AvantGarde" w:cs="Tahoma"/>
          <w:sz w:val="22"/>
        </w:rPr>
      </w:pPr>
      <w:r>
        <w:rPr>
          <w:rFonts w:cs="Tahoma" w:ascii="AvantGarde" w:hAnsi="AvantGarde"/>
          <w:sz w:val="22"/>
        </w:rPr>
        <w:t>ENRON GOVERNMENT AFFAIRS – THE AMERICAS</w:t>
      </w:r>
    </w:p>
    <w:p>
      <w:pPr>
        <w:pStyle w:val="Normal"/>
        <w:jc w:val="center"/>
        <w:rPr>
          <w:rFonts w:ascii="AvantGarde" w:hAnsi="AvantGarde" w:cs="Tahoma"/>
          <w:sz w:val="22"/>
        </w:rPr>
      </w:pPr>
      <w:r>
        <w:rPr>
          <w:rFonts w:cs="Tahoma" w:ascii="AvantGarde" w:hAnsi="AvantGarde"/>
          <w:sz w:val="22"/>
        </w:rPr>
        <w:t>TRAVEL POLICY</w:t>
      </w:r>
    </w:p>
    <w:p>
      <w:pPr>
        <w:pStyle w:val="Normal"/>
        <w:jc w:val="both"/>
        <w:rPr>
          <w:rFonts w:ascii="AvantGarde" w:hAnsi="AvantGarde" w:cs="Tahoma"/>
          <w:sz w:val="22"/>
        </w:rPr>
      </w:pPr>
      <w:r>
        <w:rPr>
          <w:rFonts w:cs="Tahoma" w:ascii="AvantGarde" w:hAnsi="AvantGarde"/>
          <w:sz w:val="22"/>
        </w:rPr>
      </w:r>
    </w:p>
    <w:p>
      <w:pPr>
        <w:pStyle w:val="Normal"/>
        <w:jc w:val="both"/>
        <w:rPr>
          <w:rFonts w:ascii="AvantGarde" w:hAnsi="AvantGarde" w:cs="Tahoma"/>
          <w:sz w:val="22"/>
        </w:rPr>
      </w:pPr>
      <w:r>
        <w:rPr>
          <w:rFonts w:cs="Tahoma" w:ascii="AvantGarde" w:hAnsi="AvantGarde"/>
          <w:sz w:val="22"/>
        </w:rPr>
      </w:r>
    </w:p>
    <w:p>
      <w:pPr>
        <w:pStyle w:val="Heading1"/>
        <w:ind w:hanging="0" w:start="0"/>
        <w:rPr/>
      </w:pPr>
      <w:r>
        <w:rPr/>
        <w:t>UNAUTHORIZED EXPENSES</w:t>
      </w:r>
    </w:p>
    <w:p>
      <w:pPr>
        <w:pStyle w:val="Normal"/>
        <w:jc w:val="both"/>
        <w:rPr>
          <w:rFonts w:ascii="AvantGarde" w:hAnsi="AvantGarde" w:cs="Tahoma"/>
          <w:sz w:val="22"/>
        </w:rPr>
      </w:pPr>
      <w:r>
        <w:rPr>
          <w:rFonts w:cs="Tahoma" w:ascii="AvantGarde" w:hAnsi="AvantGarde"/>
          <w:sz w:val="22"/>
        </w:rPr>
      </w:r>
    </w:p>
    <w:p>
      <w:pPr>
        <w:pStyle w:val="Normal"/>
        <w:jc w:val="both"/>
        <w:rPr/>
      </w:pPr>
      <w:r>
        <w:rPr>
          <w:rFonts w:cs="Tahoma" w:ascii="AvantGarde" w:hAnsi="AvantGarde"/>
          <w:b/>
          <w:bCs/>
          <w:sz w:val="22"/>
        </w:rPr>
        <w:t>Items of a Personal Nature</w:t>
      </w:r>
      <w:r>
        <w:rPr>
          <w:rFonts w:cs="Tahoma" w:ascii="AvantGarde" w:hAnsi="AvantGarde"/>
          <w:sz w:val="22"/>
        </w:rPr>
        <w:t>:  Magazines, clothing, brief cases, umbrellas, cigarettes and sundry shop items.</w:t>
      </w:r>
    </w:p>
    <w:p>
      <w:pPr>
        <w:pStyle w:val="Normal"/>
        <w:jc w:val="both"/>
        <w:rPr>
          <w:rFonts w:ascii="AvantGarde" w:hAnsi="AvantGarde" w:cs="Tahoma"/>
          <w:sz w:val="22"/>
        </w:rPr>
      </w:pPr>
      <w:r>
        <w:rPr>
          <w:rFonts w:cs="Tahoma" w:ascii="AvantGarde" w:hAnsi="AvantGarde"/>
          <w:sz w:val="22"/>
        </w:rPr>
      </w:r>
    </w:p>
    <w:p>
      <w:pPr>
        <w:pStyle w:val="Normal"/>
        <w:jc w:val="both"/>
        <w:rPr/>
      </w:pPr>
      <w:r>
        <w:rPr>
          <w:rFonts w:cs="Tahoma" w:ascii="AvantGarde" w:hAnsi="AvantGarde"/>
          <w:b/>
          <w:bCs/>
          <w:sz w:val="22"/>
        </w:rPr>
        <w:t>Commuting</w:t>
      </w:r>
      <w:r>
        <w:rPr>
          <w:rFonts w:cs="Tahoma" w:ascii="AvantGarde" w:hAnsi="AvantGarde"/>
          <w:sz w:val="22"/>
        </w:rPr>
        <w:t>:  To and from the employee residence and place of work, except taxis after 9 pm.</w:t>
      </w:r>
    </w:p>
    <w:p>
      <w:pPr>
        <w:pStyle w:val="Normal"/>
        <w:jc w:val="both"/>
        <w:rPr>
          <w:rFonts w:ascii="AvantGarde" w:hAnsi="AvantGarde" w:cs="Tahoma"/>
          <w:sz w:val="22"/>
        </w:rPr>
      </w:pPr>
      <w:r>
        <w:rPr>
          <w:rFonts w:cs="Tahoma" w:ascii="AvantGarde" w:hAnsi="AvantGarde"/>
          <w:sz w:val="22"/>
        </w:rPr>
      </w:r>
    </w:p>
    <w:p>
      <w:pPr>
        <w:pStyle w:val="Normal"/>
        <w:jc w:val="both"/>
        <w:rPr/>
      </w:pPr>
      <w:r>
        <w:rPr>
          <w:rFonts w:cs="Tahoma" w:ascii="AvantGarde" w:hAnsi="AvantGarde"/>
          <w:b/>
          <w:bCs/>
          <w:sz w:val="22"/>
        </w:rPr>
        <w:t>Late Payments/Fines</w:t>
      </w:r>
      <w:r>
        <w:rPr>
          <w:rFonts w:cs="Tahoma" w:ascii="AvantGarde" w:hAnsi="AvantGarde"/>
          <w:sz w:val="22"/>
        </w:rPr>
        <w:t>:  Not permitted, except use of economy fixed flights.</w:t>
      </w:r>
    </w:p>
    <w:p>
      <w:pPr>
        <w:pStyle w:val="Normal"/>
        <w:jc w:val="both"/>
        <w:rPr>
          <w:rFonts w:ascii="AvantGarde" w:hAnsi="AvantGarde" w:cs="Tahoma"/>
          <w:sz w:val="22"/>
        </w:rPr>
      </w:pPr>
      <w:r>
        <w:rPr>
          <w:rFonts w:cs="Tahoma" w:ascii="AvantGarde" w:hAnsi="AvantGarde"/>
          <w:sz w:val="22"/>
        </w:rPr>
      </w:r>
    </w:p>
    <w:p>
      <w:pPr>
        <w:pStyle w:val="Heading1"/>
        <w:ind w:hanging="0" w:start="0"/>
        <w:rPr/>
      </w:pPr>
      <w:r>
        <w:rPr/>
        <w:t>EXPENSE REIMBURSEMENT PROCEDURES</w:t>
      </w:r>
    </w:p>
    <w:p>
      <w:pPr>
        <w:pStyle w:val="Normal"/>
        <w:jc w:val="both"/>
        <w:rPr>
          <w:rFonts w:ascii="AvantGarde" w:hAnsi="AvantGarde" w:cs="Tahoma"/>
          <w:sz w:val="22"/>
        </w:rPr>
      </w:pPr>
      <w:r>
        <w:rPr>
          <w:rFonts w:cs="Tahoma" w:ascii="AvantGarde" w:hAnsi="AvantGarde"/>
          <w:sz w:val="22"/>
        </w:rPr>
        <w:t>All expenses should be reported and approved following the current expense reimbursement procedures in place.</w:t>
      </w:r>
    </w:p>
    <w:p>
      <w:pPr>
        <w:pStyle w:val="Normal"/>
        <w:jc w:val="both"/>
        <w:rPr>
          <w:rFonts w:ascii="AvantGarde" w:hAnsi="AvantGarde" w:cs="Tahoma"/>
          <w:sz w:val="22"/>
        </w:rPr>
      </w:pPr>
      <w:r>
        <w:rPr>
          <w:rFonts w:cs="Tahoma" w:ascii="AvantGarde" w:hAnsi="AvantGarde"/>
          <w:sz w:val="22"/>
        </w:rPr>
      </w:r>
    </w:p>
    <w:p>
      <w:pPr>
        <w:pStyle w:val="Heading1"/>
        <w:ind w:hanging="0" w:start="0"/>
        <w:rPr/>
      </w:pPr>
      <w:r>
        <w:rPr/>
        <w:t>DOCUMENTATION</w:t>
      </w:r>
    </w:p>
    <w:p>
      <w:pPr>
        <w:pStyle w:val="Normal"/>
        <w:jc w:val="both"/>
        <w:rPr>
          <w:rFonts w:ascii="AvantGarde" w:hAnsi="AvantGarde" w:cs="Tahoma"/>
          <w:sz w:val="22"/>
        </w:rPr>
      </w:pPr>
      <w:r>
        <w:rPr>
          <w:rFonts w:cs="Tahoma" w:ascii="AvantGarde" w:hAnsi="AvantGarde"/>
          <w:sz w:val="22"/>
        </w:rPr>
      </w:r>
    </w:p>
    <w:p>
      <w:pPr>
        <w:pStyle w:val="Normal"/>
        <w:jc w:val="both"/>
        <w:rPr/>
      </w:pPr>
      <w:r>
        <w:rPr>
          <w:rFonts w:cs="Tahoma" w:ascii="AvantGarde" w:hAnsi="AvantGarde"/>
          <w:sz w:val="22"/>
        </w:rPr>
        <w:t xml:space="preserve">Original receipts, not copies, are required for </w:t>
      </w:r>
      <w:r>
        <w:rPr>
          <w:rFonts w:cs="Tahoma" w:ascii="AvantGarde" w:hAnsi="AvantGarde"/>
          <w:b/>
          <w:bCs/>
          <w:sz w:val="22"/>
          <w:u w:val="single"/>
        </w:rPr>
        <w:t>all</w:t>
      </w:r>
      <w:r>
        <w:rPr>
          <w:rFonts w:cs="Tahoma" w:ascii="AvantGarde" w:hAnsi="AvantGarde"/>
          <w:sz w:val="22"/>
        </w:rPr>
        <w:t xml:space="preserve"> expenditures. The purpose of all business and travel expenses must be clearly documented.</w:t>
      </w:r>
    </w:p>
    <w:p>
      <w:pPr>
        <w:pStyle w:val="Normal"/>
        <w:jc w:val="both"/>
        <w:rPr>
          <w:rFonts w:ascii="AvantGarde" w:hAnsi="AvantGarde" w:cs="Tahoma"/>
          <w:sz w:val="22"/>
        </w:rPr>
      </w:pPr>
      <w:r>
        <w:rPr>
          <w:rFonts w:cs="Tahoma" w:ascii="AvantGarde" w:hAnsi="AvantGarde"/>
          <w:sz w:val="22"/>
        </w:rPr>
      </w:r>
    </w:p>
    <w:p>
      <w:pPr>
        <w:pStyle w:val="Normal"/>
        <w:jc w:val="both"/>
        <w:rPr/>
      </w:pPr>
      <w:r>
        <w:rPr>
          <w:rFonts w:cs="Tahoma" w:ascii="AvantGarde" w:hAnsi="AvantGarde"/>
          <w:b/>
          <w:bCs/>
          <w:sz w:val="22"/>
        </w:rPr>
        <w:t>Travel</w:t>
      </w:r>
      <w:r>
        <w:rPr>
          <w:rFonts w:cs="Tahoma" w:ascii="AvantGarde" w:hAnsi="AvantGarde"/>
          <w:sz w:val="22"/>
        </w:rPr>
        <w:t xml:space="preserve"> – location at which expenses were incurred, purpose of the trip, flight ticket receipt should be stapled to the invoice.</w:t>
      </w:r>
    </w:p>
    <w:p>
      <w:pPr>
        <w:pStyle w:val="Normal"/>
        <w:jc w:val="both"/>
        <w:rPr>
          <w:rFonts w:ascii="AvantGarde" w:hAnsi="AvantGarde" w:cs="Tahoma"/>
          <w:sz w:val="22"/>
        </w:rPr>
      </w:pPr>
      <w:r>
        <w:rPr>
          <w:rFonts w:cs="Tahoma" w:ascii="AvantGarde" w:hAnsi="AvantGarde"/>
          <w:sz w:val="22"/>
        </w:rPr>
      </w:r>
    </w:p>
    <w:p>
      <w:pPr>
        <w:pStyle w:val="Normal"/>
        <w:jc w:val="both"/>
        <w:rPr/>
      </w:pPr>
      <w:r>
        <w:rPr>
          <w:rFonts w:cs="Tahoma" w:ascii="AvantGarde" w:hAnsi="AvantGarde"/>
          <w:b/>
          <w:bCs/>
          <w:sz w:val="22"/>
        </w:rPr>
        <w:t>Meals and Entertainment</w:t>
      </w:r>
      <w:r>
        <w:rPr>
          <w:rFonts w:cs="Tahoma" w:ascii="AvantGarde" w:hAnsi="AvantGarde"/>
          <w:sz w:val="22"/>
        </w:rPr>
        <w:t xml:space="preserve"> – location, business purpose, name, title and employer of each guest attending.</w:t>
      </w:r>
    </w:p>
    <w:p>
      <w:pPr>
        <w:pStyle w:val="Normal"/>
        <w:jc w:val="both"/>
        <w:rPr>
          <w:rFonts w:ascii="AvantGarde" w:hAnsi="AvantGarde" w:cs="Tahoma"/>
          <w:sz w:val="22"/>
        </w:rPr>
      </w:pPr>
      <w:r>
        <w:rPr>
          <w:rFonts w:cs="Tahoma" w:ascii="AvantGarde" w:hAnsi="AvantGarde"/>
          <w:sz w:val="22"/>
        </w:rPr>
      </w:r>
    </w:p>
    <w:p>
      <w:pPr>
        <w:pStyle w:val="Normal"/>
        <w:jc w:val="both"/>
        <w:rPr>
          <w:rFonts w:ascii="AvantGarde" w:hAnsi="AvantGarde" w:cs="Tahoma"/>
          <w:sz w:val="22"/>
        </w:rPr>
      </w:pPr>
      <w:r>
        <w:rPr>
          <w:rFonts w:cs="Tahoma" w:ascii="AvantGarde" w:hAnsi="AvantGarde"/>
          <w:sz w:val="22"/>
        </w:rPr>
      </w:r>
    </w:p>
    <w:sectPr>
      <w:footerReference w:type="default" r:id="rId2"/>
      <w:type w:val="nextPage"/>
      <w:pgSz w:w="12240" w:h="15840"/>
      <w:pgMar w:left="1440" w:right="1440" w:gutter="0" w:header="0" w:top="1152" w:footer="720" w:bottom="115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vantGarde">
    <w:charset w:val="00" w:characterSet="windows-1252"/>
    <w:family w:val="swiss"/>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Tahoma" w:ascii="Tahoma" w:hAnsi="Tahoma"/>
        <w:sz w:val="20"/>
      </w:rPr>
      <w:t xml:space="preserve">Page </w:t>
    </w:r>
    <w:r>
      <w:rPr>
        <w:rFonts w:cs="Tahoma" w:ascii="Tahoma" w:hAnsi="Tahoma"/>
        <w:sz w:val="20"/>
      </w:rPr>
      <w:fldChar w:fldCharType="begin"/>
    </w:r>
    <w:r>
      <w:rPr>
        <w:sz w:val="20"/>
        <w:rFonts w:cs="Tahoma" w:ascii="Tahoma" w:hAnsi="Tahoma"/>
      </w:rPr>
      <w:instrText xml:space="preserve"> PAGE </w:instrText>
    </w:r>
    <w:r>
      <w:rPr>
        <w:sz w:val="20"/>
        <w:rFonts w:cs="Tahoma" w:ascii="Tahoma" w:hAnsi="Tahoma"/>
      </w:rPr>
      <w:fldChar w:fldCharType="separate"/>
    </w:r>
    <w:r>
      <w:rPr>
        <w:sz w:val="20"/>
        <w:rFonts w:cs="Tahoma" w:ascii="Tahoma" w:hAnsi="Tahoma"/>
      </w:rPr>
      <w:t>2</w:t>
    </w:r>
    <w:r>
      <w:rPr>
        <w:sz w:val="20"/>
        <w:rFonts w:cs="Tahoma" w:ascii="Tahoma" w:hAnsi="Tahoma"/>
      </w:rPr>
      <w:fldChar w:fldCharType="end"/>
    </w:r>
    <w:r>
      <w:rPr>
        <w:rFonts w:cs="Tahoma" w:ascii="Tahoma" w:hAnsi="Tahoma"/>
        <w:sz w:val="20"/>
      </w:rPr>
      <w:t xml:space="preserve"> of </w:t>
    </w:r>
    <w:r>
      <w:rPr>
        <w:rFonts w:cs="Tahoma" w:ascii="Tahoma" w:hAnsi="Tahoma"/>
        <w:sz w:val="20"/>
      </w:rPr>
      <w:fldChar w:fldCharType="begin"/>
    </w:r>
    <w:r>
      <w:rPr>
        <w:sz w:val="20"/>
        <w:rFonts w:cs="Tahoma" w:ascii="Tahoma" w:hAnsi="Tahoma"/>
      </w:rPr>
      <w:instrText xml:space="preserve"> NUMPAGES \* ARABIC </w:instrText>
    </w:r>
    <w:r>
      <w:rPr>
        <w:sz w:val="20"/>
        <w:rFonts w:cs="Tahoma" w:ascii="Tahoma" w:hAnsi="Tahoma"/>
      </w:rPr>
      <w:fldChar w:fldCharType="separate"/>
    </w:r>
    <w:r>
      <w:rPr>
        <w:sz w:val="20"/>
        <w:rFonts w:cs="Tahoma" w:ascii="Tahoma" w:hAnsi="Tahoma"/>
      </w:rPr>
      <w:t>2</w:t>
    </w:r>
    <w:r>
      <w:rPr>
        <w:sz w:val="20"/>
        <w:rFonts w:cs="Tahoma" w:ascii="Tahoma" w:hAnsi="Tahoma"/>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both"/>
      <w:outlineLvl w:val="0"/>
    </w:pPr>
    <w:rPr>
      <w:rFonts w:ascii="AvantGarde" w:hAnsi="AvantGarde" w:cs="Tahoma"/>
      <w:b/>
      <w:bCs/>
      <w:sz w:val="22"/>
      <w:u w:val="single"/>
    </w:rPr>
  </w:style>
  <w:style w:type="paragraph" w:styleId="Heading2">
    <w:name w:val="heading 2"/>
    <w:basedOn w:val="Normal"/>
    <w:next w:val="Normal"/>
    <w:qFormat/>
    <w:pPr>
      <w:keepNext w:val="true"/>
      <w:numPr>
        <w:ilvl w:val="1"/>
        <w:numId w:val="1"/>
      </w:numPr>
      <w:jc w:val="both"/>
      <w:outlineLvl w:val="1"/>
    </w:pPr>
    <w:rPr>
      <w:rFonts w:ascii="AvantGarde" w:hAnsi="AvantGarde" w:cs="Tahoma"/>
      <w:b/>
      <w:bCs/>
      <w:sz w:val="22"/>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2001-04-23T18:54:00Z</dcterms:created>
  <dc:creator>ebenson</dc:creator>
  <dc:description/>
  <dc:language>en-CA</dc:language>
  <cp:lastModifiedBy>gdernehl</cp:lastModifiedBy>
  <cp:lastPrinted>2001-04-27T11:05:00Z</cp:lastPrinted>
  <dcterms:modified xsi:type="dcterms:W3CDTF">2001-04-27T13:38:00Z</dcterms:modified>
  <cp:revision>4</cp:revision>
  <dc:subject/>
  <dc:title>ENRON GOVERNMENT AFFAIRS – THE AMERICAS</dc:title>
</cp:coreProperties>
</file>