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vantGarde" w:hAnsi="AvantGarde" w:cs="Tahoma"/>
          <w:sz w:val="22"/>
        </w:rPr>
      </w:pPr>
      <w:r>
        <w:rPr>
          <w:rFonts w:cs="Tahoma" w:ascii="AvantGarde" w:hAnsi="AvantGarde"/>
          <w:sz w:val="22"/>
        </w:rPr>
        <w:t xml:space="preserve">ENRON GOVERNMENT AFFAIRS </w:t>
      </w:r>
    </w:p>
    <w:p>
      <w:pPr>
        <w:pStyle w:val="Normal"/>
        <w:jc w:val="center"/>
        <w:rPr>
          <w:rFonts w:ascii="AvantGarde" w:hAnsi="AvantGarde" w:cs="Tahoma"/>
          <w:sz w:val="22"/>
        </w:rPr>
      </w:pPr>
      <w:r>
        <w:rPr>
          <w:rFonts w:cs="Tahoma" w:ascii="AvantGarde" w:hAnsi="AvantGarde"/>
          <w:sz w:val="22"/>
        </w:rPr>
        <w:t>CELL PHONE POLICY</w:t>
      </w:r>
    </w:p>
    <w:p>
      <w:pPr>
        <w:pStyle w:val="Normal"/>
        <w:jc w:val="center"/>
        <w:rPr>
          <w:rFonts w:ascii="AvantGarde" w:hAnsi="AvantGarde" w:cs="Tahoma"/>
          <w:sz w:val="22"/>
        </w:rPr>
      </w:pPr>
      <w:r>
        <w:rPr>
          <w:rFonts w:cs="Tahoma" w:ascii="AvantGarde" w:hAnsi="AvantGarde"/>
          <w:sz w:val="22"/>
        </w:rPr>
        <w:t>As of April 12, 2001</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r>
    </w:p>
    <w:p>
      <w:pPr>
        <w:pStyle w:val="Heading2"/>
        <w:ind w:hanging="0" w:start="0"/>
        <w:rPr/>
      </w:pPr>
      <w:r>
        <w:rPr/>
        <w:t>NOTE</w:t>
      </w:r>
    </w:p>
    <w:p>
      <w:pPr>
        <w:pStyle w:val="Normal"/>
        <w:jc w:val="both"/>
        <w:rPr>
          <w:rFonts w:ascii="AvantGarde" w:hAnsi="AvantGarde" w:cs="Tahoma"/>
          <w:sz w:val="22"/>
        </w:rPr>
      </w:pPr>
      <w:r>
        <w:rPr>
          <w:rFonts w:cs="Tahoma" w:ascii="AvantGarde" w:hAnsi="AvantGarde"/>
          <w:sz w:val="22"/>
        </w:rPr>
        <w:t>The Cellular Phone Policy outline below should be used in conjunction with any Enron Corp. policy regarding cell phone use currently in place.</w:t>
      </w:r>
    </w:p>
    <w:p>
      <w:pPr>
        <w:pStyle w:val="Normal"/>
        <w:jc w:val="both"/>
        <w:rPr>
          <w:rFonts w:ascii="AvantGarde" w:hAnsi="AvantGarde" w:cs="Tahoma"/>
          <w:sz w:val="22"/>
        </w:rPr>
      </w:pPr>
      <w:r>
        <w:rPr>
          <w:rFonts w:cs="Tahoma" w:ascii="AvantGarde" w:hAnsi="AvantGarde"/>
          <w:sz w:val="22"/>
        </w:rPr>
      </w:r>
    </w:p>
    <w:p>
      <w:pPr>
        <w:pStyle w:val="Heading1"/>
        <w:ind w:hanging="0" w:start="0"/>
        <w:rPr/>
      </w:pPr>
      <w:r>
        <w:rPr/>
        <w:t>AUTHORIZED EXPENSES</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t>Cellular phone bills will be closely scrutinized.  All employees are encouraged to use a cost effective cellular phone service provider.  Employees should evaluate their current phone usage and chose a cellular phone service provider plan that matches their current phone usage.  There are numerous phone service plans available for consideration.  Individuals not using a fixed phone plan in North America are at risk of having portions of their bills unreimbursed.  The following are examples of plans available in North America:</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Sprint PCS</w:t>
      </w:r>
      <w:r>
        <w:rPr>
          <w:rFonts w:cs="Tahoma" w:ascii="AvantGarde" w:hAnsi="AvantGarde"/>
          <w:sz w:val="22"/>
        </w:rPr>
        <w:t xml:space="preserve"> – Purchase price of the phone equals approximately $199.  There are 5 nationwide calling plans ranging from $59.99 per month for 600 minutes up to $149.99 per month for 3000 minutes.  Vincent Gonzales (281-300-4357) is the Enron account representative.</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Verizon</w:t>
      </w:r>
      <w:r>
        <w:rPr>
          <w:rFonts w:cs="Tahoma" w:ascii="AvantGarde" w:hAnsi="AvantGarde"/>
          <w:sz w:val="22"/>
        </w:rPr>
        <w:t xml:space="preserve"> – Verizon wireless offers the following:  2400 minutes for $35 per month (400 Peak/2000 Off-Peak), 2,600 minutes for $50 per month (600 Peak/2000 Off-Peak), 2900 minutes for $80 per month (900 Peak/2000 Off Peak), buy one phone get one free, first incoming minute free, free long distance to all 50 states, free voice mail on rates $35 or higher.  Bonus options include:  mobile-to-mobile option, 25% off accessories, airtime referral program, free headset (while supplies last), free mobile web, free group calling.  The Enron account representative can be reached at 713-853-5891 or 713-299-6374.</w:t>
      </w:r>
    </w:p>
    <w:p>
      <w:pPr>
        <w:pStyle w:val="Normal"/>
        <w:jc w:val="both"/>
        <w:rPr>
          <w:rFonts w:ascii="AvantGarde" w:hAnsi="AvantGarde" w:cs="Tahoma"/>
          <w:sz w:val="22"/>
        </w:rPr>
      </w:pPr>
      <w:r>
        <w:rPr>
          <w:rFonts w:cs="Tahoma" w:ascii="AvantGarde" w:hAnsi="AvantGarde"/>
          <w:sz w:val="22"/>
        </w:rPr>
      </w:r>
    </w:p>
    <w:p>
      <w:pPr>
        <w:pStyle w:val="Normal"/>
        <w:jc w:val="both"/>
        <w:rPr/>
      </w:pPr>
      <w:r>
        <w:rPr>
          <w:rFonts w:cs="Tahoma" w:ascii="AvantGarde" w:hAnsi="AvantGarde"/>
          <w:b/>
          <w:bCs/>
          <w:sz w:val="22"/>
        </w:rPr>
        <w:t>Cingular Wireless</w:t>
      </w:r>
      <w:r>
        <w:rPr>
          <w:rFonts w:cs="Tahoma" w:ascii="AvantGarde" w:hAnsi="AvantGarde"/>
          <w:sz w:val="22"/>
        </w:rPr>
        <w:t xml:space="preserve"> – Cingular Wireless offers 6 national plans:  $29.99 per month for 100 minutes, $39.99 per month for 175 minutes, $49.99 per month for 350 minutes, $69.99 per month for 550 minutes, $99.99 per month for 900 minutes, and $149.99 per month for 1500 minutes.  The National Plans offer free roaming and free long distance anywhere in the United States.  The Enron account representatives are Chris Samaniego (713-562-2995) and Alysia Autry (713-410-0010).</w:t>
      </w:r>
    </w:p>
    <w:p>
      <w:pPr>
        <w:pStyle w:val="Normal"/>
        <w:jc w:val="both"/>
        <w:rPr>
          <w:rFonts w:ascii="AvantGarde" w:hAnsi="AvantGarde" w:cs="Tahoma"/>
          <w:sz w:val="22"/>
        </w:rPr>
      </w:pPr>
      <w:r>
        <w:rPr>
          <w:rFonts w:cs="Tahoma" w:ascii="AvantGarde" w:hAnsi="AvantGarde"/>
          <w:sz w:val="22"/>
        </w:rPr>
      </w:r>
    </w:p>
    <w:p>
      <w:pPr>
        <w:pStyle w:val="Heading1"/>
        <w:ind w:hanging="0" w:start="0"/>
        <w:rPr/>
      </w:pPr>
      <w:r>
        <w:rPr/>
        <w:t>UNAUTHORIZED EXPENSES</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t>Cellular phone purchases and cellular phone service plan payment reimbursements are allowed for authorized personnel only.  Assistants and support staff will not be reimbursed for phone purchases or monthly service charges.  Assistants and support staff may submit costs for reimbursement if in the course of business/travel such employee incurs roaming charges or happens to run over his/her allotted plan minutes.</w:t>
      </w:r>
    </w:p>
    <w:p>
      <w:pPr>
        <w:pStyle w:val="Normal"/>
        <w:jc w:val="both"/>
        <w:rPr>
          <w:rFonts w:ascii="AvantGarde" w:hAnsi="AvantGarde" w:cs="Tahoma"/>
          <w:sz w:val="22"/>
        </w:rPr>
      </w:pPr>
      <w:r>
        <w:rPr>
          <w:rFonts w:cs="Tahoma" w:ascii="AvantGarde" w:hAnsi="AvantGarde"/>
          <w:sz w:val="22"/>
        </w:rPr>
      </w:r>
    </w:p>
    <w:p>
      <w:pPr>
        <w:pStyle w:val="Normal"/>
        <w:jc w:val="center"/>
        <w:rPr>
          <w:rFonts w:ascii="AvantGarde" w:hAnsi="AvantGarde" w:cs="Tahoma"/>
          <w:sz w:val="22"/>
        </w:rPr>
      </w:pPr>
      <w:r>
        <w:rPr>
          <w:rFonts w:cs="Tahoma" w:ascii="AvantGarde" w:hAnsi="AvantGarde"/>
          <w:sz w:val="22"/>
        </w:rPr>
        <w:t>ENRON GOVERNMENT AFFAIRS</w:t>
      </w:r>
    </w:p>
    <w:p>
      <w:pPr>
        <w:pStyle w:val="Normal"/>
        <w:jc w:val="center"/>
        <w:rPr>
          <w:rFonts w:ascii="AvantGarde" w:hAnsi="AvantGarde" w:cs="Tahoma"/>
          <w:sz w:val="22"/>
        </w:rPr>
      </w:pPr>
      <w:r>
        <w:rPr>
          <w:rFonts w:cs="Tahoma" w:ascii="AvantGarde" w:hAnsi="AvantGarde"/>
          <w:sz w:val="22"/>
        </w:rPr>
        <w:t>CELL PHONE POLICY</w:t>
      </w:r>
    </w:p>
    <w:p>
      <w:pPr>
        <w:pStyle w:val="Normal"/>
        <w:jc w:val="center"/>
        <w:rPr>
          <w:rFonts w:ascii="AvantGarde" w:hAnsi="AvantGarde" w:cs="Tahoma"/>
          <w:sz w:val="22"/>
        </w:rPr>
      </w:pPr>
      <w:r>
        <w:rPr>
          <w:rFonts w:cs="Tahoma" w:ascii="AvantGarde" w:hAnsi="AvantGarde"/>
          <w:sz w:val="22"/>
        </w:rPr>
        <w:t>As of April 12, 2001</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r>
    </w:p>
    <w:p>
      <w:pPr>
        <w:pStyle w:val="Heading1"/>
        <w:ind w:hanging="0" w:start="0"/>
        <w:rPr/>
      </w:pPr>
      <w:r>
        <w:rPr/>
        <w:t>EXPENSE REIMBURSEMENT PROCEDURES</w:t>
      </w:r>
    </w:p>
    <w:p>
      <w:pPr>
        <w:pStyle w:val="Normal"/>
        <w:jc w:val="both"/>
        <w:rPr>
          <w:rFonts w:ascii="AvantGarde" w:hAnsi="AvantGarde" w:cs="Tahoma"/>
          <w:sz w:val="22"/>
        </w:rPr>
      </w:pPr>
      <w:r>
        <w:rPr>
          <w:rFonts w:cs="Tahoma" w:ascii="AvantGarde" w:hAnsi="AvantGarde"/>
          <w:sz w:val="22"/>
        </w:rPr>
      </w:r>
    </w:p>
    <w:p>
      <w:pPr>
        <w:pStyle w:val="Normal"/>
        <w:jc w:val="both"/>
        <w:rPr>
          <w:rFonts w:ascii="AvantGarde" w:hAnsi="AvantGarde" w:cs="Tahoma"/>
          <w:sz w:val="22"/>
        </w:rPr>
      </w:pPr>
      <w:r>
        <w:rPr>
          <w:rFonts w:cs="Tahoma" w:ascii="AvantGarde" w:hAnsi="AvantGarde"/>
          <w:sz w:val="22"/>
        </w:rPr>
        <w:t>All expenses should be reported and approved following the current expense reimbursement procedures in place.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vantGarde">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ahoma" w:ascii="Tahoma" w:hAnsi="Tahoma"/>
        <w:sz w:val="20"/>
      </w:rPr>
      <w:t xml:space="preserve">Page </w:t>
    </w:r>
    <w:r>
      <w:rPr>
        <w:rFonts w:cs="Tahoma" w:ascii="Tahoma" w:hAnsi="Tahoma"/>
        <w:sz w:val="20"/>
      </w:rPr>
      <w:fldChar w:fldCharType="begin"/>
    </w:r>
    <w:r>
      <w:rPr>
        <w:sz w:val="20"/>
        <w:rFonts w:cs="Tahoma" w:ascii="Tahoma" w:hAnsi="Tahoma"/>
      </w:rPr>
      <w:instrText xml:space="preserve"> PAGE </w:instrText>
    </w:r>
    <w:r>
      <w:rPr>
        <w:sz w:val="20"/>
        <w:rFonts w:cs="Tahoma" w:ascii="Tahoma" w:hAnsi="Tahoma"/>
      </w:rPr>
      <w:fldChar w:fldCharType="separate"/>
    </w:r>
    <w:r>
      <w:rPr>
        <w:sz w:val="20"/>
        <w:rFonts w:cs="Tahoma" w:ascii="Tahoma" w:hAnsi="Tahoma"/>
      </w:rPr>
      <w:t>2</w:t>
    </w:r>
    <w:r>
      <w:rPr>
        <w:sz w:val="20"/>
        <w:rFonts w:cs="Tahoma" w:ascii="Tahoma" w:hAnsi="Tahoma"/>
      </w:rPr>
      <w:fldChar w:fldCharType="end"/>
    </w:r>
    <w:r>
      <w:rPr>
        <w:rFonts w:cs="Tahoma" w:ascii="Tahoma" w:hAnsi="Tahoma"/>
        <w:sz w:val="20"/>
      </w:rPr>
      <w:t xml:space="preserve"> of </w:t>
    </w:r>
    <w:r>
      <w:rPr>
        <w:rFonts w:cs="Tahoma" w:ascii="Tahoma" w:hAnsi="Tahoma"/>
        <w:sz w:val="20"/>
      </w:rPr>
      <w:fldChar w:fldCharType="begin"/>
    </w:r>
    <w:r>
      <w:rPr>
        <w:sz w:val="20"/>
        <w:rFonts w:cs="Tahoma" w:ascii="Tahoma" w:hAnsi="Tahoma"/>
      </w:rPr>
      <w:instrText xml:space="preserve"> NUMPAGES \* ARABIC </w:instrText>
    </w:r>
    <w:r>
      <w:rPr>
        <w:sz w:val="20"/>
        <w:rFonts w:cs="Tahoma" w:ascii="Tahoma" w:hAnsi="Tahoma"/>
      </w:rPr>
      <w:fldChar w:fldCharType="separate"/>
    </w:r>
    <w:r>
      <w:rPr>
        <w:sz w:val="20"/>
        <w:rFonts w:cs="Tahoma" w:ascii="Tahoma" w:hAnsi="Tahoma"/>
      </w:rPr>
      <w:t>2</w:t>
    </w:r>
    <w:r>
      <w:rPr>
        <w:sz w:val="20"/>
        <w:rFonts w:cs="Tahoma" w:ascii="Tahoma" w:hAnsi="Tahom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vantGarde" w:hAnsi="AvantGarde" w:cs="Tahoma"/>
      <w:b/>
      <w:bCs/>
      <w:sz w:val="22"/>
      <w:u w:val="single"/>
    </w:rPr>
  </w:style>
  <w:style w:type="paragraph" w:styleId="Heading2">
    <w:name w:val="heading 2"/>
    <w:basedOn w:val="Normal"/>
    <w:next w:val="Normal"/>
    <w:qFormat/>
    <w:pPr>
      <w:keepNext w:val="true"/>
      <w:numPr>
        <w:ilvl w:val="1"/>
        <w:numId w:val="1"/>
      </w:numPr>
      <w:jc w:val="both"/>
      <w:outlineLvl w:val="1"/>
    </w:pPr>
    <w:rPr>
      <w:rFonts w:ascii="AvantGarde" w:hAnsi="AvantGarde" w:cs="Tahoma"/>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2001-04-20T12:08:00Z</dcterms:created>
  <dc:creator>ebenson</dc:creator>
  <dc:description/>
  <dc:language>en-CA</dc:language>
  <cp:lastModifiedBy>gdernehl</cp:lastModifiedBy>
  <cp:lastPrinted>2001-04-27T11:05:00Z</cp:lastPrinted>
  <dcterms:modified xsi:type="dcterms:W3CDTF">2001-04-27T13:38:00Z</dcterms:modified>
  <cp:revision>9</cp:revision>
  <dc:subject/>
  <dc:title>ENRON GOVERNMENT AFFAIRS – THE AMERICAS</dc:title>
</cp:coreProperties>
</file>