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890" w:type="dxa"/>
        <w:jc w:val="start"/>
        <w:tblInd w:w="18" w:type="dxa"/>
        <w:tblLayout w:type="fixed"/>
        <w:tblCellMar>
          <w:top w:w="0" w:type="dxa"/>
          <w:start w:w="108" w:type="dxa"/>
          <w:bottom w:w="0" w:type="dxa"/>
          <w:end w:w="108" w:type="dxa"/>
        </w:tblCellMar>
      </w:tblPr>
      <w:tblGrid>
        <w:gridCol w:w="890"/>
        <w:gridCol w:w="5860"/>
        <w:gridCol w:w="1175"/>
        <w:gridCol w:w="2965"/>
      </w:tblGrid>
      <w:tr>
        <w:trPr>
          <w:trHeight w:val="300" w:hRule="exact"/>
        </w:trPr>
        <w:tc>
          <w:tcPr>
            <w:tcW w:w="890" w:type="dxa"/>
            <w:tcBorders/>
          </w:tcPr>
          <w:p>
            <w:pPr>
              <w:pStyle w:val="Normal"/>
              <w:ind w:start="-180" w:end="0"/>
              <w:jc w:val="end"/>
              <w:rPr>
                <w:rFonts w:ascii="Times New Roman" w:hAnsi="Times New Roman" w:cs="Times New Roman"/>
                <w:sz w:val="20"/>
              </w:rPr>
            </w:pPr>
            <w:r>
              <w:rPr>
                <w:rFonts w:cs="Times New Roman" w:ascii="Times New Roman" w:hAnsi="Times New Roman"/>
                <w:sz w:val="20"/>
              </w:rPr>
              <w:t>To:</w:t>
            </w:r>
          </w:p>
        </w:tc>
        <w:tc>
          <w:tcPr>
            <w:tcW w:w="5860" w:type="dxa"/>
            <w:tcBorders/>
          </w:tcPr>
          <w:p>
            <w:pPr>
              <w:pStyle w:val="To"/>
              <w:rPr>
                <w:rFonts w:ascii="Times New Roman" w:hAnsi="Times New Roman" w:cs="Times New Roman"/>
              </w:rPr>
            </w:pPr>
            <w:r>
              <w:rPr>
                <w:rFonts w:cs="Times New Roman" w:ascii="Times New Roman" w:hAnsi="Times New Roman"/>
              </w:rPr>
              <w:t>Energy Operations</w:t>
            </w:r>
          </w:p>
        </w:tc>
        <w:tc>
          <w:tcPr>
            <w:tcW w:w="1175" w:type="dxa"/>
            <w:tcBorders/>
          </w:tcPr>
          <w:p>
            <w:pPr>
              <w:pStyle w:val="Normal"/>
              <w:snapToGrid w:val="false"/>
              <w:ind w:start="-180" w:end="0"/>
              <w:rPr>
                <w:rFonts w:ascii="Times New Roman" w:hAnsi="Times New Roman" w:cs="Times New Roman"/>
                <w:sz w:val="20"/>
              </w:rPr>
            </w:pPr>
            <w:r>
              <w:rPr>
                <w:rFonts w:cs="Times New Roman" w:ascii="Times New Roman" w:hAnsi="Times New Roman"/>
                <w:sz w:val="20"/>
              </w:rPr>
            </w:r>
          </w:p>
        </w:tc>
        <w:tc>
          <w:tcPr>
            <w:tcW w:w="2965"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rHeight w:val="216" w:hRule="exact"/>
        </w:trPr>
        <w:tc>
          <w:tcPr>
            <w:tcW w:w="890" w:type="dxa"/>
            <w:tcBorders/>
          </w:tcPr>
          <w:p>
            <w:pPr>
              <w:pStyle w:val="Normal"/>
              <w:snapToGrid w:val="false"/>
              <w:ind w:start="-180" w:end="0"/>
              <w:jc w:val="end"/>
              <w:rPr>
                <w:rFonts w:ascii="Times New Roman" w:hAnsi="Times New Roman" w:cs="Times New Roman"/>
                <w:sz w:val="20"/>
              </w:rPr>
            </w:pPr>
            <w:r>
              <w:rPr>
                <w:rFonts w:cs="Times New Roman" w:ascii="Times New Roman" w:hAnsi="Times New Roman"/>
                <w:sz w:val="20"/>
              </w:rPr>
            </w:r>
          </w:p>
        </w:tc>
        <w:tc>
          <w:tcPr>
            <w:tcW w:w="586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1175" w:type="dxa"/>
            <w:tcBorders/>
          </w:tcPr>
          <w:p>
            <w:pPr>
              <w:pStyle w:val="Normal"/>
              <w:snapToGrid w:val="false"/>
              <w:ind w:start="-180" w:end="0"/>
              <w:rPr>
                <w:rFonts w:ascii="Times New Roman" w:hAnsi="Times New Roman" w:cs="Times New Roman"/>
                <w:sz w:val="20"/>
              </w:rPr>
            </w:pPr>
            <w:r>
              <w:rPr>
                <w:rFonts w:cs="Times New Roman" w:ascii="Times New Roman" w:hAnsi="Times New Roman"/>
                <w:sz w:val="20"/>
              </w:rPr>
            </w:r>
          </w:p>
        </w:tc>
        <w:tc>
          <w:tcPr>
            <w:tcW w:w="2965"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rHeight w:val="300" w:hRule="exact"/>
        </w:trPr>
        <w:tc>
          <w:tcPr>
            <w:tcW w:w="890" w:type="dxa"/>
            <w:tcBorders/>
          </w:tcPr>
          <w:p>
            <w:pPr>
              <w:pStyle w:val="Normal"/>
              <w:ind w:start="-180" w:end="0"/>
              <w:jc w:val="end"/>
              <w:rPr>
                <w:rFonts w:ascii="Times New Roman" w:hAnsi="Times New Roman" w:cs="Times New Roman"/>
                <w:sz w:val="20"/>
              </w:rPr>
            </w:pPr>
            <w:r>
              <w:rPr>
                <w:rFonts w:cs="Times New Roman" w:ascii="Times New Roman" w:hAnsi="Times New Roman"/>
                <w:sz w:val="20"/>
              </w:rPr>
              <w:t>From:</w:t>
            </w:r>
          </w:p>
        </w:tc>
        <w:tc>
          <w:tcPr>
            <w:tcW w:w="5860" w:type="dxa"/>
            <w:tcBorders/>
          </w:tcPr>
          <w:p>
            <w:pPr>
              <w:pStyle w:val="From"/>
              <w:rPr>
                <w:rFonts w:ascii="Times New Roman" w:hAnsi="Times New Roman" w:cs="Times New Roman"/>
              </w:rPr>
            </w:pPr>
            <w:r>
              <w:rPr>
                <w:rFonts w:cs="Times New Roman" w:ascii="Times New Roman" w:hAnsi="Times New Roman"/>
              </w:rPr>
              <w:t>Brent Price</w:t>
            </w:r>
          </w:p>
        </w:tc>
        <w:tc>
          <w:tcPr>
            <w:tcW w:w="1175" w:type="dxa"/>
            <w:tcBorders/>
          </w:tcPr>
          <w:p>
            <w:pPr>
              <w:pStyle w:val="Normal"/>
              <w:ind w:start="-180" w:end="0"/>
              <w:jc w:val="end"/>
              <w:rPr>
                <w:rFonts w:ascii="Times New Roman" w:hAnsi="Times New Roman" w:cs="Times New Roman"/>
                <w:sz w:val="20"/>
              </w:rPr>
            </w:pPr>
            <w:r>
              <w:rPr>
                <w:rFonts w:cs="Times New Roman" w:ascii="Times New Roman" w:hAnsi="Times New Roman"/>
                <w:sz w:val="20"/>
              </w:rPr>
              <w:t>Department:</w:t>
            </w:r>
          </w:p>
        </w:tc>
        <w:tc>
          <w:tcPr>
            <w:tcW w:w="2965" w:type="dxa"/>
            <w:tcBorders/>
          </w:tcPr>
          <w:p>
            <w:pPr>
              <w:pStyle w:val="Department"/>
              <w:rPr>
                <w:rFonts w:ascii="Times New Roman" w:hAnsi="Times New Roman" w:cs="Times New Roman"/>
              </w:rPr>
            </w:pPr>
            <w:bookmarkStart w:id="0" w:name="From"/>
            <w:bookmarkEnd w:id="0"/>
            <w:r>
              <w:rPr>
                <w:rFonts w:cs="Times New Roman" w:ascii="Times New Roman" w:hAnsi="Times New Roman"/>
              </w:rPr>
              <w:t>Gas Operations</w:t>
            </w:r>
          </w:p>
        </w:tc>
      </w:tr>
      <w:tr>
        <w:trPr>
          <w:trHeight w:val="216" w:hRule="exact"/>
        </w:trPr>
        <w:tc>
          <w:tcPr>
            <w:tcW w:w="890" w:type="dxa"/>
            <w:tcBorders/>
          </w:tcPr>
          <w:p>
            <w:pPr>
              <w:pStyle w:val="Normal"/>
              <w:snapToGrid w:val="false"/>
              <w:ind w:start="-180" w:end="0"/>
              <w:jc w:val="end"/>
              <w:rPr>
                <w:rFonts w:ascii="Times New Roman" w:hAnsi="Times New Roman" w:cs="Times New Roman"/>
                <w:sz w:val="20"/>
              </w:rPr>
            </w:pPr>
            <w:r>
              <w:rPr>
                <w:rFonts w:cs="Times New Roman" w:ascii="Times New Roman" w:hAnsi="Times New Roman"/>
                <w:sz w:val="20"/>
              </w:rPr>
            </w:r>
          </w:p>
        </w:tc>
        <w:tc>
          <w:tcPr>
            <w:tcW w:w="586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1175" w:type="dxa"/>
            <w:tcBorders/>
          </w:tcPr>
          <w:p>
            <w:pPr>
              <w:pStyle w:val="Normal"/>
              <w:snapToGrid w:val="false"/>
              <w:ind w:start="-180" w:end="0"/>
              <w:rPr>
                <w:rFonts w:ascii="Times New Roman" w:hAnsi="Times New Roman" w:cs="Times New Roman"/>
                <w:sz w:val="20"/>
              </w:rPr>
            </w:pPr>
            <w:r>
              <w:rPr>
                <w:rFonts w:cs="Times New Roman" w:ascii="Times New Roman" w:hAnsi="Times New Roman"/>
                <w:sz w:val="20"/>
              </w:rPr>
            </w:r>
          </w:p>
        </w:tc>
        <w:tc>
          <w:tcPr>
            <w:tcW w:w="2965"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rHeight w:val="600" w:hRule="exact"/>
        </w:trPr>
        <w:tc>
          <w:tcPr>
            <w:tcW w:w="890" w:type="dxa"/>
            <w:tcBorders>
              <w:bottom w:val="single" w:sz="12" w:space="0" w:color="000000"/>
            </w:tcBorders>
          </w:tcPr>
          <w:p>
            <w:pPr>
              <w:pStyle w:val="Normal"/>
              <w:ind w:start="-180" w:end="0"/>
              <w:jc w:val="end"/>
              <w:rPr>
                <w:rFonts w:ascii="Times New Roman" w:hAnsi="Times New Roman" w:cs="Times New Roman"/>
                <w:sz w:val="20"/>
              </w:rPr>
            </w:pPr>
            <w:r>
              <w:rPr>
                <w:rFonts w:cs="Times New Roman" w:ascii="Times New Roman" w:hAnsi="Times New Roman"/>
                <w:sz w:val="20"/>
              </w:rPr>
              <w:t>Subject:</w:t>
            </w:r>
          </w:p>
        </w:tc>
        <w:tc>
          <w:tcPr>
            <w:tcW w:w="5860" w:type="dxa"/>
            <w:tcBorders>
              <w:bottom w:val="single" w:sz="12" w:space="0" w:color="000000"/>
            </w:tcBorders>
          </w:tcPr>
          <w:p>
            <w:pPr>
              <w:pStyle w:val="Subject"/>
              <w:rPr>
                <w:rFonts w:ascii="Times New Roman" w:hAnsi="Times New Roman" w:cs="Times New Roman"/>
              </w:rPr>
            </w:pPr>
            <w:r>
              <w:rPr>
                <w:rFonts w:cs="Times New Roman" w:ascii="Times New Roman" w:hAnsi="Times New Roman"/>
              </w:rPr>
              <w:t>Organizational Changes</w:t>
            </w:r>
          </w:p>
        </w:tc>
        <w:tc>
          <w:tcPr>
            <w:tcW w:w="1175" w:type="dxa"/>
            <w:tcBorders>
              <w:bottom w:val="single" w:sz="12" w:space="0" w:color="000000"/>
            </w:tcBorders>
          </w:tcPr>
          <w:p>
            <w:pPr>
              <w:pStyle w:val="Normal"/>
              <w:ind w:start="-180" w:end="0"/>
              <w:jc w:val="end"/>
              <w:rPr>
                <w:rFonts w:ascii="Times New Roman" w:hAnsi="Times New Roman" w:cs="Times New Roman"/>
                <w:sz w:val="20"/>
              </w:rPr>
            </w:pPr>
            <w:r>
              <w:rPr>
                <w:rFonts w:cs="Times New Roman" w:ascii="Times New Roman" w:hAnsi="Times New Roman"/>
                <w:sz w:val="20"/>
              </w:rPr>
              <w:t>Date:</w:t>
            </w:r>
          </w:p>
        </w:tc>
        <w:tc>
          <w:tcPr>
            <w:tcW w:w="2965" w:type="dxa"/>
            <w:tcBorders>
              <w:bottom w:val="single" w:sz="12" w:space="0" w:color="000000"/>
            </w:tcBorders>
          </w:tcPr>
          <w:p>
            <w:pPr>
              <w:pStyle w:val="Date"/>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DATE \@"MMMM\ d', 'yyyy" </w:instrText>
            </w:r>
            <w:r>
              <w:rPr>
                <w:rFonts w:cs="Times New Roman" w:ascii="Times New Roman" w:hAnsi="Times New Roman"/>
              </w:rPr>
              <w:fldChar w:fldCharType="separate"/>
            </w:r>
            <w:r>
              <w:rPr>
                <w:rFonts w:cs="Times New Roman" w:ascii="Times New Roman" w:hAnsi="Times New Roman"/>
              </w:rPr>
              <w:t>September 28, 2025</w:t>
            </w:r>
            <w:r>
              <w:rPr>
                <w:rFonts w:cs="Times New Roman" w:ascii="Times New Roman" w:hAnsi="Times New Roman"/>
              </w:rPr>
              <w:fldChar w:fldCharType="end"/>
            </w:r>
          </w:p>
        </w:tc>
      </w:tr>
    </w:tbl>
    <w:p>
      <w:pPr>
        <w:pStyle w:val="Body"/>
        <w:rPr/>
      </w:pPr>
      <w:r>
        <w:rPr/>
      </w:r>
      <w:bookmarkStart w:id="1" w:name="StartOfMemo"/>
      <w:bookmarkStart w:id="2" w:name="StartOfMemo"/>
      <w:bookmarkEnd w:id="2"/>
    </w:p>
    <w:p>
      <w:pPr>
        <w:pStyle w:val="BodyText"/>
        <w:jc w:val="both"/>
        <w:rPr>
          <w:sz w:val="24"/>
        </w:rPr>
      </w:pPr>
      <w:r>
        <w:rPr>
          <w:sz w:val="24"/>
        </w:rPr>
        <w:t>As ENA’s business continues to grow, increasing demands have been placed on Gas Operations.  We must position ourselves to meet these demands while maintaining the highest quality service to our customers.  With that in mind, we’re pleased to announce the following organizational changes within Gas Operations effective May 1, 2000.</w:t>
      </w:r>
    </w:p>
    <w:p>
      <w:pPr>
        <w:pStyle w:val="Normal"/>
        <w:jc w:val="both"/>
        <w:rPr>
          <w:rFonts w:ascii="Times New Roman" w:hAnsi="Times New Roman" w:cs="Times New Roman"/>
          <w:color w:val="000000"/>
          <w:sz w:val="24"/>
          <w:lang w:eastAsia="en-US"/>
        </w:rPr>
      </w:pPr>
      <w:r>
        <w:rPr>
          <w:rFonts w:cs="Times New Roman" w:ascii="Times New Roman" w:hAnsi="Times New Roman"/>
          <w:color w:val="000000"/>
          <w:sz w:val="24"/>
          <w:lang w:eastAsia="en-US"/>
        </w:rPr>
      </w:r>
    </w:p>
    <w:p>
      <w:pPr>
        <w:pStyle w:val="Normal"/>
        <w:jc w:val="both"/>
        <w:rPr>
          <w:rFonts w:ascii="Times New Roman" w:hAnsi="Times New Roman" w:cs="Times New Roman"/>
          <w:color w:val="000000"/>
          <w:lang w:eastAsia="en-US"/>
        </w:rPr>
      </w:pPr>
      <w:r>
        <w:rPr>
          <w:rFonts w:cs="Times New Roman" w:ascii="Times New Roman" w:hAnsi="Times New Roman"/>
          <w:color w:val="000000"/>
          <w:lang w:eastAsia="en-US"/>
        </w:rPr>
        <w:t>The Risk Management, Deal Validation, Operational Analysis, and Transportation Rates teams have been grouped into regional teams under the management of Business Controllers.  Each of these teams has been individually responsible for certain aspects of data integrity, while also providing critical support to the traders throughout the month.  By aligning into regional teams, we will develop a cohesive focus on accuracy and trading support while simultaneously creating workflow benefits.  We will also be able to leverage the functional knowledge of the team members to better serve the needs of Commercial.  The Business Controllers are Jeff Gossett – West, Carrie Hollomon – Central, and Will Kelly – East.  Jeff Gossett will maintain responsibility for the NGP&amp;L and Benchmark reporting.  Dutch Quigley has assumed responsibility as the Lead over the Financial Risk functions.  Further information relating to the Texas teams will be separately communicated.</w:t>
      </w:r>
    </w:p>
    <w:p>
      <w:pPr>
        <w:pStyle w:val="Normal"/>
        <w:jc w:val="both"/>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jc w:val="both"/>
        <w:rPr>
          <w:rFonts w:ascii="Times New Roman" w:hAnsi="Times New Roman" w:cs="Times New Roman"/>
          <w:color w:val="000000"/>
          <w:lang w:eastAsia="en-US"/>
        </w:rPr>
      </w:pPr>
      <w:r>
        <w:rPr>
          <w:rFonts w:cs="Times New Roman" w:ascii="Times New Roman" w:hAnsi="Times New Roman"/>
          <w:color w:val="000000"/>
          <w:lang w:eastAsia="en-US"/>
        </w:rPr>
        <w:t>A separate Controls team has also been developed which will be primarily responsible for coordinating activities that cross regions and affect downstream functions, with the intent to ensure overall consistency and operational integrity.  This group will also be involved in various global risk management initiatives, including the development of global operating standards across the company.  Kathryn Cordes will manage the Controls team.</w:t>
      </w:r>
    </w:p>
    <w:p>
      <w:pPr>
        <w:pStyle w:val="Normal"/>
        <w:jc w:val="both"/>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jc w:val="both"/>
        <w:rPr>
          <w:rFonts w:ascii="Times New Roman" w:hAnsi="Times New Roman" w:cs="Times New Roman"/>
          <w:color w:val="000000"/>
          <w:lang w:eastAsia="en-US"/>
        </w:rPr>
      </w:pPr>
      <w:r>
        <w:rPr>
          <w:rFonts w:cs="Times New Roman" w:ascii="Times New Roman" w:hAnsi="Times New Roman"/>
          <w:color w:val="000000"/>
          <w:lang w:eastAsia="en-US"/>
        </w:rPr>
        <w:t>The responsibility for physical gas confirmations (previously part of Deal Validation) has been consolidated within the Financial Confirmations group under the leadership of Jeff Sorenson.</w:t>
      </w:r>
    </w:p>
    <w:p>
      <w:pPr>
        <w:pStyle w:val="Normal"/>
        <w:jc w:val="both"/>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jc w:val="both"/>
        <w:rPr>
          <w:rFonts w:ascii="Times New Roman" w:hAnsi="Times New Roman" w:cs="Times New Roman"/>
          <w:color w:val="000000"/>
          <w:lang w:eastAsia="en-US"/>
        </w:rPr>
      </w:pPr>
      <w:r>
        <w:rPr>
          <w:rFonts w:cs="Times New Roman" w:ascii="Times New Roman" w:hAnsi="Times New Roman"/>
          <w:color w:val="000000"/>
          <w:lang w:eastAsia="en-US"/>
        </w:rPr>
        <w:t>The attached organizational chart outlines the new teams.</w:t>
      </w:r>
    </w:p>
    <w:p>
      <w:pPr>
        <w:pStyle w:val="Normal"/>
        <w:jc w:val="both"/>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rPr>
          <w:rFonts w:ascii="Times New Roman" w:hAnsi="Times New Roman" w:cs="Times New Roman"/>
          <w:color w:val="000000"/>
          <w:lang w:eastAsia="en-US"/>
        </w:rPr>
      </w:pPr>
      <w:r>
        <w:rPr>
          <w:rFonts w:cs="Times New Roman" w:ascii="Times New Roman" w:hAnsi="Times New Roman"/>
          <w:color w:val="000000"/>
          <w:lang w:eastAsia="en-US"/>
        </w:rPr>
      </w:r>
    </w:p>
    <w:p>
      <w:pPr>
        <w:pStyle w:val="Body"/>
        <w:rPr>
          <w:rFonts w:ascii="Times New Roman" w:hAnsi="Times New Roman" w:cs="Times New Roman"/>
          <w:color w:val="000000"/>
          <w:sz w:val="24"/>
          <w:lang w:eastAsia="en-US"/>
        </w:rPr>
      </w:pPr>
      <w:r>
        <w:rPr>
          <w:rFonts w:cs="Times New Roman" w:ascii="Times New Roman" w:hAnsi="Times New Roman"/>
          <w:color w:val="000000"/>
          <w:sz w:val="24"/>
          <w:lang w:eastAsia="en-US"/>
        </w:rPr>
      </w:r>
    </w:p>
    <w:p>
      <w:pPr>
        <w:pStyle w:val="Department"/>
        <w:rPr>
          <w:rFonts w:ascii="Times New Roman" w:hAnsi="Times New Roman" w:cs="Times New Roman"/>
          <w:sz w:val="24"/>
        </w:rPr>
      </w:pPr>
      <w:r>
        <w:rPr>
          <w:rFonts w:cs="Times New Roman" w:ascii="Times New Roman" w:hAnsi="Times New Roman"/>
          <w:sz w:val="24"/>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rPr/>
    </w:pPr>
    <w:r>
      <w:rPr/>
    </w:r>
    <w:r>
      <mc:AlternateContent>
        <mc:Choice Requires="wps">
          <w:drawing>
            <wp:anchor behindDoc="0" distT="0" distB="0" distL="118745" distR="118745" simplePos="0" locked="0" layoutInCell="0" allowOverlap="1" relativeHeight="3">
              <wp:simplePos x="0" y="0"/>
              <wp:positionH relativeFrom="page">
                <wp:posOffset>2383790</wp:posOffset>
              </wp:positionH>
              <wp:positionV relativeFrom="paragraph">
                <wp:posOffset>-95250</wp:posOffset>
              </wp:positionV>
              <wp:extent cx="4824095"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4824095" cy="658495"/>
                      </a:xfrm>
                      <a:prstGeom prst="rect"/>
                      <a:solidFill>
                        <a:srgbClr val="FFFFFF">
                          <a:alpha val="0"/>
                        </a:srgbClr>
                      </a:solidFill>
                    </wps:spPr>
                    <wps:txbx>
                      <w:txbxContent>
                        <w:p>
                          <w:pPr>
                            <w:pStyle w:val="Heading1"/>
                            <w:rPr/>
                          </w:pPr>
                          <w:r>
                            <w:rPr/>
                            <w:t>Interoffice Memorandum</w:t>
                          </w:r>
                        </w:p>
                      </w:txbxContent>
                    </wps:txbx>
                    <wps:bodyPr anchor="t" lIns="0" tIns="0" rIns="0" bIns="0">
                      <a:noAutofit/>
                    </wps:bodyPr>
                  </wps:wsp>
                </a:graphicData>
              </a:graphic>
            </wp:anchor>
          </w:drawing>
        </mc:Choice>
        <mc:Fallback>
          <w:pict>
            <v:rect fillcolor="#FFFFFF" style="position:absolute;rotation:-0;width:379.85pt;height:51.85pt;mso-wrap-distance-left:9.35pt;mso-wrap-distance-right:9.35pt;mso-wrap-distance-top:0pt;mso-wrap-distance-bottom:0pt;margin-top:-7.5pt;mso-position-vertical-relative:text;margin-left:187.7pt;mso-position-horizontal-relative:page">
              <v:fill opacity="0f"/>
              <v:textbox inset="0in,0in,0in,0in">
                <w:txbxContent>
                  <w:p>
                    <w:pPr>
                      <w:pStyle w:val="Heading1"/>
                      <w:rPr/>
                    </w:pPr>
                    <w:r>
                      <w:rPr/>
                      <w:t>Interoffice 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ind w:hanging="0" w:start="3600" w:end="0"/>
      <w:outlineLvl w:val="0"/>
    </w:pPr>
    <w:rPr>
      <w:b/>
      <w:sz w:val="3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color w:val="000000"/>
      <w:sz w:val="2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2000-04-25T16:07:00Z</dcterms:created>
  <dc:creator>Jeff Ford</dc:creator>
  <dc:description/>
  <dc:language>en-CA</dc:language>
  <cp:lastModifiedBy>bprice</cp:lastModifiedBy>
  <dcterms:modified xsi:type="dcterms:W3CDTF">2000-04-25T16:07:00Z</dcterms:modified>
  <cp:revision>2</cp:revision>
  <dc:subject/>
  <dc:title>Eron Capital &amp; Trade Resources Memo</dc:title>
</cp:coreProperties>
</file>