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532765" cy="5327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532765" cy="532765"/>
                    </a:xfrm>
                    <a:prstGeom prst="rect">
                      <a:avLst/>
                    </a:prstGeom>
                    <a:noFill/>
                  </pic:spPr>
                </pic:pic>
              </a:graphicData>
            </a:graphic>
          </wp:inline>
        </w:drawing>
      </w:r>
      <w:r>
        <w:rPr>
          <w:b/>
        </w:rPr>
        <w:t>Regulation of Short-Term Natural Gas Transportation Services, and Regulation of Interstate Natural Gas Transportation Services</w:t>
      </w:r>
    </w:p>
    <w:p>
      <w:pPr>
        <w:pStyle w:val="Normal"/>
        <w:jc w:val="center"/>
        <w:rPr>
          <w:b/>
        </w:rPr>
      </w:pPr>
      <w:r>
        <w:rPr>
          <w:b/>
        </w:rPr>
        <w:t>Docket Nos. RM98-10-001, RM98-10-004, RM98-12-001, RM98-12-004</w:t>
      </w:r>
    </w:p>
    <w:p>
      <w:pPr>
        <w:pStyle w:val="Normal"/>
        <w:jc w:val="center"/>
        <w:rPr>
          <w:b/>
        </w:rPr>
      </w:pPr>
      <w:r>
        <w:rPr>
          <w:b/>
        </w:rPr>
        <w:t>Final Rule: Order on Rehearing</w:t>
      </w:r>
    </w:p>
    <w:p>
      <w:pPr>
        <w:pStyle w:val="Normal"/>
        <w:jc w:val="center"/>
        <w:rPr>
          <w:b/>
        </w:rPr>
      </w:pPr>
      <w:r>
        <w:rPr>
          <w:b/>
        </w:rPr>
        <w:t>Order No. 637-A</w:t>
      </w:r>
    </w:p>
    <w:p>
      <w:pPr>
        <w:pStyle w:val="Normal"/>
        <w:jc w:val="center"/>
        <w:rPr/>
      </w:pPr>
      <w:r>
        <w:rPr/>
        <w:t>Issued May 19, 2000</w:t>
      </w:r>
    </w:p>
    <w:p>
      <w:pPr>
        <w:pStyle w:val="Normal"/>
        <w:rPr>
          <w:b/>
        </w:rPr>
      </w:pPr>
      <w:r>
        <w:rPr>
          <w:b/>
        </w:rPr>
      </w:r>
    </w:p>
    <w:p>
      <w:pPr>
        <w:pStyle w:val="Normal"/>
        <w:rPr>
          <w:b/>
        </w:rPr>
      </w:pPr>
      <w:r>
        <w:rPr>
          <w:b/>
        </w:rPr>
        <w:t>Executive Summary</w:t>
      </w:r>
    </w:p>
    <w:p>
      <w:pPr>
        <w:pStyle w:val="Normal"/>
        <w:rPr/>
      </w:pPr>
      <w:r>
        <w:rPr/>
        <w:t>In Order No. 637 the Commission revised its regulations to enhance efficiency of the interstate pipeline grid by waiving price ceilings for short-term released capacity for a two year period, permitting pipelines to file for peak/off-peak and term differentiated rates, requiring that capacity release be scheduled on a basis more comparable with pipeline short-term services, minimizing penalties in favor of imbalance services and requiring that any remaining penalties be credited, adopting new pipeline reporting requirements and narrowing the right of first refusal in certain respects.</w:t>
      </w:r>
    </w:p>
    <w:p>
      <w:pPr>
        <w:pStyle w:val="Normal"/>
        <w:rPr/>
      </w:pPr>
      <w:r>
        <w:rPr/>
      </w:r>
    </w:p>
    <w:p>
      <w:pPr>
        <w:pStyle w:val="Normal"/>
        <w:rPr/>
      </w:pPr>
      <w:r>
        <w:rPr/>
        <w:t>This rehearing order largely retains the provisions of Order No. 637 and provides an exhaustive defense of the Commission’s actions.  Modifications to the regulations and key clarifications include the following:</w:t>
      </w:r>
    </w:p>
    <w:p>
      <w:pPr>
        <w:pStyle w:val="Normal"/>
        <w:rPr/>
      </w:pPr>
      <w:r>
        <w:rPr/>
      </w:r>
    </w:p>
    <w:p>
      <w:pPr>
        <w:pStyle w:val="Normal"/>
        <w:numPr>
          <w:ilvl w:val="0"/>
          <w:numId w:val="14"/>
        </w:numPr>
        <w:tabs>
          <w:tab w:val="left" w:pos="720" w:leader="none"/>
        </w:tabs>
        <w:ind w:hanging="360" w:start="720" w:end="0"/>
        <w:rPr/>
      </w:pPr>
      <w:r>
        <w:rPr/>
        <w:t>Prearranged short-term capacity release transactions of greater than 31 days must be posted for bidding during time periods in which the price-cap is lifted. (p.51)</w:t>
      </w:r>
    </w:p>
    <w:p>
      <w:pPr>
        <w:pStyle w:val="BodyTextIndent"/>
        <w:numPr>
          <w:ilvl w:val="0"/>
          <w:numId w:val="2"/>
        </w:numPr>
        <w:tabs>
          <w:tab w:val="left" w:pos="720" w:leader="none"/>
        </w:tabs>
        <w:ind w:hanging="360" w:start="720" w:end="0"/>
        <w:rPr/>
      </w:pPr>
      <w:r>
        <w:rPr/>
        <w:t>Multi-year seasonal contracts are effectively long-term contracts and thus, pipelines may not institute seasonal rates for this service through limited section 4 filings. (p.91)</w:t>
      </w:r>
    </w:p>
    <w:p>
      <w:pPr>
        <w:pStyle w:val="Normal"/>
        <w:numPr>
          <w:ilvl w:val="0"/>
          <w:numId w:val="14"/>
        </w:numPr>
        <w:tabs>
          <w:tab w:val="left" w:pos="720" w:leader="none"/>
        </w:tabs>
        <w:ind w:hanging="360" w:start="720" w:end="0"/>
        <w:rPr/>
      </w:pPr>
      <w:r>
        <w:rPr/>
        <w:t>Each pipeline must use a within-the-path method for allocating secondary point capacity unless it can demonstrate that such an approach is operationally infeasible. (p.134)</w:t>
      </w:r>
    </w:p>
    <w:p>
      <w:pPr>
        <w:pStyle w:val="Normal"/>
        <w:numPr>
          <w:ilvl w:val="0"/>
          <w:numId w:val="6"/>
        </w:numPr>
        <w:tabs>
          <w:tab w:val="left" w:pos="720" w:leader="none"/>
        </w:tabs>
        <w:ind w:hanging="360" w:start="720" w:end="0"/>
        <w:rPr/>
      </w:pPr>
      <w:r>
        <w:rPr/>
        <w:t>If a pipeline's tariff does not include OFO provisions and imbalance penalty provisions, it need not provide imbalance management services or information on imbalance status. (p.145)</w:t>
      </w:r>
    </w:p>
    <w:p>
      <w:pPr>
        <w:pStyle w:val="Normal"/>
        <w:numPr>
          <w:ilvl w:val="0"/>
          <w:numId w:val="15"/>
        </w:numPr>
        <w:tabs>
          <w:tab w:val="left" w:pos="720" w:leader="none"/>
        </w:tabs>
        <w:ind w:hanging="360" w:start="720" w:end="0"/>
        <w:rPr/>
      </w:pPr>
      <w:r>
        <w:rPr/>
        <w:t>Transactional information must be posted no later than the first nomination for service, rather than upon execution of the contract. (p. 188)</w:t>
      </w:r>
    </w:p>
    <w:p>
      <w:pPr>
        <w:pStyle w:val="Normal"/>
        <w:numPr>
          <w:ilvl w:val="0"/>
          <w:numId w:val="12"/>
        </w:numPr>
        <w:tabs>
          <w:tab w:val="left" w:pos="720" w:leader="none"/>
        </w:tabs>
        <w:ind w:hanging="360" w:start="720" w:end="0"/>
        <w:rPr/>
      </w:pPr>
      <w:r>
        <w:rPr/>
        <w:t>Interruptible reports require the posting of the receipt and delivery points over which the shipper is entitled to transport gas at the particular rate, not simply the receipt and delivery points in the master contract. (p.198)</w:t>
      </w:r>
    </w:p>
    <w:p>
      <w:pPr>
        <w:pStyle w:val="Normal"/>
        <w:numPr>
          <w:ilvl w:val="0"/>
          <w:numId w:val="12"/>
        </w:numPr>
        <w:tabs>
          <w:tab w:val="left" w:pos="720" w:leader="none"/>
        </w:tabs>
        <w:ind w:hanging="360" w:start="720" w:end="0"/>
        <w:rPr/>
      </w:pPr>
      <w:r>
        <w:rPr/>
        <w:t>All special terms that deviate from the tariff must be disclosed, including conditions attached to a discounted transportation contract. (p.205)</w:t>
      </w:r>
    </w:p>
    <w:p>
      <w:pPr>
        <w:pStyle w:val="Normal"/>
        <w:numPr>
          <w:ilvl w:val="0"/>
          <w:numId w:val="15"/>
        </w:numPr>
        <w:tabs>
          <w:tab w:val="left" w:pos="720" w:leader="none"/>
        </w:tabs>
        <w:ind w:hanging="360" w:start="720" w:end="0"/>
        <w:rPr/>
      </w:pPr>
      <w:r>
        <w:rPr/>
        <w:t>Pipelines must post the available and scheduled capacity information during each nomination cycle. (p.220)</w:t>
      </w:r>
    </w:p>
    <w:p>
      <w:pPr>
        <w:pStyle w:val="Normal"/>
        <w:numPr>
          <w:ilvl w:val="0"/>
          <w:numId w:val="15"/>
        </w:numPr>
        <w:tabs>
          <w:tab w:val="left" w:pos="720" w:leader="none"/>
        </w:tabs>
        <w:ind w:hanging="360" w:start="720" w:end="0"/>
        <w:rPr/>
      </w:pPr>
      <w:r>
        <w:rPr/>
        <w:t xml:space="preserve">ROFR will apply to multi-year seasonal contracts at the maximum rate for services </w:t>
      </w:r>
      <w:r>
        <w:rPr>
          <w:i/>
        </w:rPr>
        <w:t>not offered</w:t>
      </w:r>
      <w:r>
        <w:rPr/>
        <w:t xml:space="preserve"> by the pipeline for a full 12 months. (p.234)</w:t>
      </w:r>
    </w:p>
    <w:p>
      <w:pPr>
        <w:pStyle w:val="Normal"/>
        <w:rPr/>
      </w:pPr>
      <w:r>
        <w:rPr/>
      </w:r>
    </w:p>
    <w:p>
      <w:pPr>
        <w:pStyle w:val="Normal"/>
        <w:rPr/>
      </w:pPr>
      <w:r>
        <w:rPr/>
        <w:t xml:space="preserve">The amended regulations take effect 30 days after publication in the </w:t>
      </w:r>
      <w:r>
        <w:rPr>
          <w:i/>
        </w:rPr>
        <w:t>Federal Register</w:t>
      </w:r>
      <w:r>
        <w:rPr/>
        <w:t>.</w:t>
      </w:r>
    </w:p>
    <w:p>
      <w:pPr>
        <w:pStyle w:val="Heading2"/>
        <w:ind w:hanging="0" w:start="0"/>
        <w:rPr/>
      </w:pPr>
      <w:r>
        <w:rPr/>
        <w:t xml:space="preserve"> </w:t>
      </w:r>
      <w:r>
        <w:rPr/>
        <w:t>A.   Removal of the Rate Ceiling for Capacity Release Transactions</w:t>
      </w:r>
    </w:p>
    <w:p>
      <w:pPr>
        <w:pStyle w:val="Normal"/>
        <w:rPr/>
      </w:pPr>
      <w:r>
        <w:rPr/>
      </w:r>
    </w:p>
    <w:p>
      <w:pPr>
        <w:pStyle w:val="Heading1"/>
        <w:rPr/>
      </w:pPr>
      <w:r>
        <w:rPr/>
        <w:t xml:space="preserve">Policy and Legal Justification </w:t>
      </w:r>
      <w:r>
        <w:rPr>
          <w:b w:val="false"/>
        </w:rPr>
        <w:t>(pp.2-51)</w:t>
      </w:r>
    </w:p>
    <w:p>
      <w:pPr>
        <w:pStyle w:val="BodyTextIndent"/>
        <w:rPr/>
      </w:pPr>
      <w:r>
        <w:rPr/>
        <w:t xml:space="preserve">The Commission spends 50 pages expanding on the policy rationale and legal support for waiving the price cap on short-term capacity release transactions for a two-year period.  The order reasons that capacity release was intended to provide an efficient method by which shippers could reallocate transportation capacity in a way that is fair, open, and transparent and that would provide good market information about the value of pipeline capacity.  But the short-term rate ceiling prevents the capacity release system from meeting these goals during peak periods precisely because releasing shippers seek to avoid the rate cap by ignoring the capacity release market and bundling the transportation with downstream sales.  In place of direct rate regulation, the Order 637 framework depends on a combination of other factors to ensure rates remain just and reasonable, including competition among releasing shippers, posting requirements to increase transparency, monitoring and enforcement, and the continuation of regulation on pipeline capacity.   </w:t>
      </w:r>
    </w:p>
    <w:p>
      <w:pPr>
        <w:pStyle w:val="Normal"/>
        <w:rPr/>
      </w:pPr>
      <w:r>
        <w:rPr/>
      </w:r>
    </w:p>
    <w:p>
      <w:pPr>
        <w:pStyle w:val="Heading3"/>
        <w:rPr/>
      </w:pPr>
      <w:r>
        <w:rPr/>
        <w:t xml:space="preserve">Mechanics of Lifting Price Caps &amp; Posting/Bidding Rules </w:t>
      </w:r>
      <w:r>
        <w:rPr>
          <w:b w:val="false"/>
        </w:rPr>
        <w:t>(pp.52-56)</w:t>
      </w:r>
    </w:p>
    <w:p>
      <w:pPr>
        <w:pStyle w:val="BodyTextIndent"/>
        <w:rPr/>
      </w:pPr>
      <w:r>
        <w:rPr/>
        <w:t>Prior to Order No. 637 two types of capacity release transactions were exempt from the posting and bidding requirements:  (1) releases of 31 days or less; and (2) prearranged transactions at maximum rates. Since the maximum tariff rate is no longer applicable to short-term capacity release transactions, the exemption for maximum rate transactions is not applicable for so long as the rate ceilings are waived.   To clarify this point, the Commission adds language to section 284.8 (i) of the regulations to state that “…</w:t>
      </w:r>
      <w:r>
        <w:rPr>
          <w:i/>
        </w:rPr>
        <w:t>the provision of paragraph (h)(1) of this section providing an exemption from the posting and bidding requirements for transactions at the applicable maximum tariff rate for pipeline services will not apply as long as the waiver of the rate ceiling is in effect</w:t>
      </w:r>
      <w:r>
        <w:rPr/>
        <w:t xml:space="preserve">."  For transactions of 31 days or less, shippers can enter into prearranged deals that are not subject to the posting and bidding requirements.  But all rollovers or continuation of such deals will be subject to posting and bidding.  Parties can enter into pre-arranged deals exempt from the posting and bidding requirements by entering into a pre-arranged release for one year or more at the maximum rate.   Thus, during the period in which capacity release price caps are lifted, the capacity release transactions exempt from posting are: all releases of 31 days of less (but not rollovers) and maximum rate releases of a year or greater.  </w:t>
      </w:r>
    </w:p>
    <w:p>
      <w:pPr>
        <w:pStyle w:val="Normal"/>
        <w:rPr/>
      </w:pPr>
      <w:r>
        <w:rPr/>
      </w:r>
    </w:p>
    <w:p>
      <w:pPr>
        <w:pStyle w:val="Heading4"/>
        <w:rPr/>
      </w:pPr>
      <w:r>
        <w:rPr/>
        <w:t xml:space="preserve"> </w:t>
      </w:r>
      <w:r>
        <w:rPr/>
        <w:t xml:space="preserve">No Removal of Price Ceiling for Pipeline Capacity </w:t>
      </w:r>
      <w:r>
        <w:rPr>
          <w:b w:val="false"/>
        </w:rPr>
        <w:t>(p.64-65)</w:t>
      </w:r>
    </w:p>
    <w:p>
      <w:pPr>
        <w:pStyle w:val="BodyTextIndent"/>
        <w:rPr/>
      </w:pPr>
      <w:r>
        <w:rPr/>
        <w:t xml:space="preserve">Some pipelines contend that if the market is workably competitive enough to permit lifting of the price ceiling for capacity release transactions, it also should be sufficiently competitive to lift the price ceiling for pipeline short-term services.  The rehearing order reiterates that the Commission has chosen to take only an incremental step at this time, however, the Commission will entertain proposals to lift price ceilings for pipeline capacity if the pipeline implements an auction process that protects against the exercise of market power. </w:t>
      </w:r>
    </w:p>
    <w:p>
      <w:pPr>
        <w:pStyle w:val="Normal"/>
        <w:rPr/>
      </w:pPr>
      <w:r>
        <w:rPr/>
      </w:r>
    </w:p>
    <w:p>
      <w:pPr>
        <w:pStyle w:val="Heading5"/>
        <w:ind w:start="450" w:end="0"/>
        <w:rPr/>
      </w:pPr>
      <w:r>
        <w:rPr/>
      </w:r>
    </w:p>
    <w:p>
      <w:pPr>
        <w:pStyle w:val="Heading5"/>
        <w:ind w:start="450" w:end="0"/>
        <w:rPr/>
      </w:pPr>
      <w:r>
        <w:rPr/>
        <w:t xml:space="preserve">Implementation of the Waiver </w:t>
      </w:r>
      <w:r>
        <w:rPr>
          <w:b w:val="false"/>
        </w:rPr>
        <w:t>(p.69)</w:t>
      </w:r>
    </w:p>
    <w:p>
      <w:pPr>
        <w:pStyle w:val="BodyTextIndent2"/>
        <w:ind w:start="450" w:end="0"/>
        <w:rPr/>
      </w:pPr>
      <w:r>
        <w:rPr/>
        <w:t xml:space="preserve">The order denies requests to delay lifting the price ceiling until reporting requirements are implemented and clarifies that the rate ceiling was removed from capacity release transactions as of March 26, 2000. </w:t>
      </w:r>
    </w:p>
    <w:p>
      <w:pPr>
        <w:pStyle w:val="Heading2"/>
        <w:numPr>
          <w:ilvl w:val="0"/>
          <w:numId w:val="0"/>
        </w:numPr>
        <w:ind w:hanging="0" w:start="0"/>
        <w:rPr/>
      </w:pPr>
      <w:r>
        <w:rPr/>
      </w:r>
    </w:p>
    <w:p>
      <w:pPr>
        <w:pStyle w:val="Heading2"/>
        <w:numPr>
          <w:ilvl w:val="0"/>
          <w:numId w:val="0"/>
        </w:numPr>
        <w:ind w:hanging="0" w:start="0"/>
        <w:rPr/>
      </w:pPr>
      <w:r>
        <w:rPr/>
      </w:r>
    </w:p>
    <w:p>
      <w:pPr>
        <w:pStyle w:val="Heading2"/>
        <w:numPr>
          <w:ilvl w:val="0"/>
          <w:numId w:val="0"/>
        </w:numPr>
        <w:ind w:hanging="0" w:start="0"/>
        <w:rPr/>
      </w:pPr>
      <w:r>
        <w:rPr/>
        <w:t xml:space="preserve"> </w:t>
      </w:r>
      <w:r>
        <w:rPr/>
        <w:t xml:space="preserve">B.   Peak and Off-Peak Rates </w:t>
      </w:r>
      <w:r>
        <w:rPr>
          <w:b w:val="false"/>
        </w:rPr>
        <w:t>(p.69)</w:t>
      </w:r>
    </w:p>
    <w:p>
      <w:pPr>
        <w:pStyle w:val="Normal"/>
        <w:numPr>
          <w:ilvl w:val="0"/>
          <w:numId w:val="0"/>
        </w:numPr>
        <w:ind w:hanging="0" w:start="0"/>
        <w:rPr>
          <w:b/>
        </w:rPr>
      </w:pPr>
      <w:r>
        <w:rPr>
          <w:b/>
        </w:rPr>
      </w:r>
    </w:p>
    <w:p>
      <w:pPr>
        <w:pStyle w:val="BodyTextIndent3"/>
        <w:ind w:hanging="0" w:start="450" w:end="0"/>
        <w:rPr/>
      </w:pPr>
      <w:r>
        <w:rPr/>
        <w:t xml:space="preserve">Order No. 637 provided that pipelines may, on a voluntary basis, implement value-based peak/off-peak rates for </w:t>
      </w:r>
      <w:r>
        <w:rPr>
          <w:i/>
        </w:rPr>
        <w:t>short-term services</w:t>
      </w:r>
      <w:r>
        <w:rPr/>
        <w:t>. Peak/off-peak rates may be implemented through limited section 4 pro forma tariff filings subject to the pipeline including in its proposal a revenue sharing mechanism with at least an equal sharing of any increased revenues with its long-term customers.  In addition, a pipeline implementing peak/off-peak rates must file a cost and revenue study within 15 months. The rehearing order leaves this framework unchanged, with the clarification that multi-year seasonal contracts will be considered long-term services and thus not within this policy.</w:t>
      </w:r>
    </w:p>
    <w:p>
      <w:pPr>
        <w:pStyle w:val="BodyTextIndent3"/>
        <w:ind w:hanging="0" w:start="450" w:end="0"/>
        <w:rPr/>
      </w:pPr>
      <w:r>
        <w:rPr/>
      </w:r>
    </w:p>
    <w:p>
      <w:pPr>
        <w:pStyle w:val="BodyTextIndent3"/>
        <w:ind w:hanging="0" w:start="450" w:end="0"/>
        <w:rPr/>
      </w:pPr>
      <w:r>
        <w:rPr/>
        <w:t>The Commission clarifies that implementation of peak/off-peak rates is voluntary and a decision not to implement peak/off-peak rates will not affect the pipeline’s ability to seek a discount adjustment in its next rate case. (p.94)</w:t>
      </w:r>
    </w:p>
    <w:p>
      <w:pPr>
        <w:pStyle w:val="Normal"/>
        <w:rPr/>
      </w:pPr>
      <w:r>
        <w:rPr/>
      </w:r>
    </w:p>
    <w:p>
      <w:pPr>
        <w:pStyle w:val="Normal"/>
        <w:ind w:start="450" w:end="0"/>
        <w:rPr/>
      </w:pPr>
      <w:r>
        <w:rPr>
          <w:b/>
        </w:rPr>
        <w:t>Revenue Crediting</w:t>
      </w:r>
      <w:r>
        <w:rPr/>
        <w:t xml:space="preserve">  (p.82)</w:t>
      </w:r>
    </w:p>
    <w:p>
      <w:pPr>
        <w:pStyle w:val="Normal"/>
        <w:ind w:start="450" w:end="0"/>
        <w:rPr/>
      </w:pPr>
      <w:r>
        <w:rPr/>
        <w:t xml:space="preserve">The Commission denies requests to mandate a 90/10 sharing formula or require that credits be given to both short-term and long-term customers.  Details of the revenue crediting mechanism are to be resolved in the context of specific pipeline proposals.  However, the Commission does provide general guidance that customers receiving a discount should share in any revenues to the extent that the credit would reduce their rate below the discount level.  </w:t>
      </w:r>
    </w:p>
    <w:p>
      <w:pPr>
        <w:pStyle w:val="Normal"/>
        <w:rPr/>
      </w:pPr>
      <w:r>
        <w:rPr/>
      </w:r>
    </w:p>
    <w:p>
      <w:pPr>
        <w:pStyle w:val="Heading3"/>
        <w:rPr/>
      </w:pPr>
      <w:r>
        <w:rPr/>
        <w:t xml:space="preserve">Cost and Revenue Study  </w:t>
      </w:r>
      <w:r>
        <w:rPr>
          <w:b w:val="false"/>
        </w:rPr>
        <w:t>(p.88)</w:t>
      </w:r>
    </w:p>
    <w:p>
      <w:pPr>
        <w:pStyle w:val="BodyTextIndent"/>
        <w:rPr/>
      </w:pPr>
      <w:r>
        <w:rPr/>
        <w:t xml:space="preserve">The rehearing order denies pipeline requests that the study be limited in scope to a review of the revenues associated with the new services. The Commission clarifies that it will use the study to look at all the services offered by the pipeline, including the interplay of short-term and long-term services. The cost and revenue study does not apply if the pipeline implements peak/off-peak rates in a general section 4 rate proceeding. A pipeline that implements seasonal rates is not required to eliminate its discount adjustment. </w:t>
      </w:r>
    </w:p>
    <w:p>
      <w:pPr>
        <w:pStyle w:val="Normal"/>
        <w:numPr>
          <w:ilvl w:val="0"/>
          <w:numId w:val="0"/>
        </w:numPr>
        <w:ind w:hanging="0" w:start="0"/>
        <w:rPr/>
      </w:pPr>
      <w:r>
        <w:rPr/>
        <w:t xml:space="preserve"> </w:t>
      </w:r>
    </w:p>
    <w:p>
      <w:pPr>
        <w:pStyle w:val="Heading1"/>
        <w:rPr/>
      </w:pPr>
      <w:r>
        <w:rPr/>
        <w:t xml:space="preserve">Peak/Off-Peak Rates for Multi-Year Seasonal Contracts </w:t>
      </w:r>
      <w:r>
        <w:rPr>
          <w:b w:val="false"/>
        </w:rPr>
        <w:t>(p.91)</w:t>
      </w:r>
    </w:p>
    <w:p>
      <w:pPr>
        <w:pStyle w:val="BodyTextIndent"/>
        <w:rPr/>
      </w:pPr>
      <w:r>
        <w:rPr/>
        <w:t xml:space="preserve">On rehearing, the Commission finds that multi-year seasonal contracts are effectively long-term contracts and thus, pipeline may not institute seasonal rates for this service through limited section 4 filings. </w:t>
      </w:r>
    </w:p>
    <w:p>
      <w:pPr>
        <w:pStyle w:val="Normal"/>
        <w:rPr/>
      </w:pPr>
      <w:r>
        <w:rPr/>
      </w:r>
    </w:p>
    <w:p>
      <w:pPr>
        <w:pStyle w:val="Normal"/>
        <w:rPr/>
      </w:pPr>
      <w:r>
        <w:rPr/>
      </w:r>
    </w:p>
    <w:p>
      <w:pPr>
        <w:pStyle w:val="Heading2"/>
        <w:ind w:hanging="0" w:start="0"/>
        <w:rPr/>
      </w:pPr>
      <w:r>
        <w:rPr/>
        <w:t xml:space="preserve">C.  Term Differentiated Rates </w:t>
      </w:r>
      <w:r>
        <w:rPr>
          <w:b w:val="false"/>
        </w:rPr>
        <w:t>(p.95)</w:t>
      </w:r>
    </w:p>
    <w:p>
      <w:pPr>
        <w:pStyle w:val="Normal"/>
        <w:rPr/>
      </w:pPr>
      <w:r>
        <w:rPr/>
      </w:r>
    </w:p>
    <w:p>
      <w:pPr>
        <w:pStyle w:val="BodyTextIndent2"/>
        <w:rPr/>
      </w:pPr>
      <w:r>
        <w:rPr/>
        <w:t xml:space="preserve">On rehearing the Commission reaffirms its policy permitting term-differentiated rates and reiterates that term-differentiated rates must be implemented through a general section 4 rate filing. The Commission clarifies that a long-term rate should apply based on the entire term of the contract, and not to have that contract charged a shorter-term rate in the later years of the contract.  The rehearing order also makes the broad statement that parties continue to be bound by settlements, and nothing in Order No. 637 changes existing settlements. </w:t>
      </w:r>
    </w:p>
    <w:p>
      <w:pPr>
        <w:pStyle w:val="Normal"/>
        <w:rPr/>
      </w:pPr>
      <w:r>
        <w:rPr/>
      </w:r>
    </w:p>
    <w:p>
      <w:pPr>
        <w:pStyle w:val="Footer"/>
        <w:tabs>
          <w:tab w:val="clear" w:pos="4320"/>
          <w:tab w:val="clear" w:pos="8640"/>
        </w:tabs>
        <w:rPr/>
      </w:pPr>
      <w:r>
        <w:rPr/>
      </w:r>
    </w:p>
    <w:p>
      <w:pPr>
        <w:pStyle w:val="Heading2"/>
        <w:ind w:hanging="0" w:start="0"/>
        <w:rPr/>
      </w:pPr>
      <w:r>
        <w:rPr/>
        <w:t xml:space="preserve">D.   Voluntary Auctions </w:t>
      </w:r>
      <w:r>
        <w:rPr>
          <w:b w:val="false"/>
        </w:rPr>
        <w:t>(p.105)</w:t>
      </w:r>
    </w:p>
    <w:p>
      <w:pPr>
        <w:pStyle w:val="Normal"/>
        <w:rPr>
          <w:b/>
        </w:rPr>
      </w:pPr>
      <w:r>
        <w:rPr>
          <w:b/>
        </w:rPr>
      </w:r>
    </w:p>
    <w:p>
      <w:pPr>
        <w:pStyle w:val="BodyTextIndent2"/>
        <w:ind w:start="450" w:end="0"/>
        <w:rPr/>
      </w:pPr>
      <w:r>
        <w:rPr/>
        <w:t>In Order No. 637, the Commission encouraged both pipelines and third parties to develop capacity auctions, and provided basic principles for the design of transparent, verifiable, and non-discriminatory auctions. An appropriately designed auction may be a means by which a pipeline could sell all or some of its capacity without a price cap so long as the auction was designed to protect against the pipeline's ability to withhold capacity.  The rehearing order offers further guidance on the design of voluntary auctions.</w:t>
      </w:r>
    </w:p>
    <w:p>
      <w:pPr>
        <w:pStyle w:val="Normal"/>
        <w:ind w:start="450" w:end="0"/>
        <w:rPr/>
      </w:pPr>
      <w:r>
        <w:rPr/>
      </w:r>
    </w:p>
    <w:p>
      <w:pPr>
        <w:pStyle w:val="Normal"/>
        <w:ind w:start="450" w:end="0"/>
        <w:rPr/>
      </w:pPr>
      <w:r>
        <w:rPr>
          <w:b/>
        </w:rPr>
        <w:t>Selective auctions are not sufficient to justify lifting price caps</w:t>
      </w:r>
      <w:r>
        <w:rPr/>
        <w:t xml:space="preserve"> </w:t>
      </w:r>
    </w:p>
    <w:p>
      <w:pPr>
        <w:pStyle w:val="Normal"/>
        <w:ind w:start="450" w:end="0"/>
        <w:rPr/>
      </w:pPr>
      <w:r>
        <w:rPr/>
        <w:t>In a fair auction process, the pipeline should not be able to choose the auction format only for those markets or at those times where it could benefit, while reserving its right to selectively discount at other times or for other markets.</w:t>
      </w:r>
    </w:p>
    <w:p>
      <w:pPr>
        <w:pStyle w:val="Normal"/>
        <w:ind w:start="450" w:end="0"/>
        <w:rPr/>
      </w:pPr>
      <w:r>
        <w:rPr/>
      </w:r>
    </w:p>
    <w:p>
      <w:pPr>
        <w:pStyle w:val="Normal"/>
        <w:ind w:start="450" w:end="0"/>
        <w:rPr/>
      </w:pPr>
      <w:r>
        <w:rPr>
          <w:b/>
        </w:rPr>
        <w:t>No single auction format</w:t>
      </w:r>
      <w:r>
        <w:rPr/>
        <w:t xml:space="preserve"> </w:t>
      </w:r>
    </w:p>
    <w:p>
      <w:pPr>
        <w:pStyle w:val="Normal"/>
        <w:ind w:start="450" w:end="0"/>
        <w:rPr/>
      </w:pPr>
      <w:r>
        <w:rPr/>
        <w:t xml:space="preserve">Given the industry's lack of experience with auctions, it is important to encourage innovation in auction design, rather than having the Commission insist on a design that may not be the most effective or efficient. </w:t>
      </w:r>
    </w:p>
    <w:p>
      <w:pPr>
        <w:pStyle w:val="Normal"/>
        <w:ind w:start="360" w:end="0"/>
        <w:rPr/>
      </w:pPr>
      <w:r>
        <w:rPr/>
      </w:r>
    </w:p>
    <w:p>
      <w:pPr>
        <w:pStyle w:val="Normal"/>
        <w:ind w:start="450" w:end="0"/>
        <w:rPr>
          <w:b/>
        </w:rPr>
      </w:pPr>
      <w:r>
        <w:rPr>
          <w:b/>
        </w:rPr>
        <w:t>Filing of Auction Proposals</w:t>
      </w:r>
    </w:p>
    <w:p>
      <w:pPr>
        <w:pStyle w:val="Normal"/>
        <w:ind w:start="450" w:end="0"/>
        <w:rPr/>
      </w:pPr>
      <w:r>
        <w:rPr/>
        <w:t xml:space="preserve">Pipelines should work with shippers on auction design in advance and shippers will also have the right to participate in any auction proceeding initiated by a pipeline filing.  Depending on how an auction is organized, and whether waiver of Commission requirements is requested, Commission regulatory oversight may or may not be necessary.  </w:t>
      </w:r>
    </w:p>
    <w:p>
      <w:pPr>
        <w:pStyle w:val="Normal"/>
        <w:ind w:start="450" w:end="0"/>
        <w:rPr/>
      </w:pPr>
      <w:r>
        <w:rPr/>
      </w:r>
    </w:p>
    <w:p>
      <w:pPr>
        <w:pStyle w:val="Normal"/>
        <w:ind w:start="450" w:end="0"/>
        <w:rPr/>
      </w:pPr>
      <w:r>
        <w:rPr>
          <w:b/>
        </w:rPr>
        <w:t>Third-Party Auctions</w:t>
      </w:r>
      <w:r>
        <w:rPr/>
        <w:t xml:space="preserve">.  </w:t>
      </w:r>
    </w:p>
    <w:p>
      <w:pPr>
        <w:pStyle w:val="Normal"/>
        <w:ind w:start="450" w:end="0"/>
        <w:rPr/>
      </w:pPr>
      <w:r>
        <w:rPr/>
        <w:t xml:space="preserve">Third-parties currently can auction released capacity without regulatory oversight so long as the results of those auctions are made subject to posting and pipeline on the pipeline Internet site.  Thus, third-party auctions are merely ways for shippers to enter into pre-arranged releases of capacity. In those cases in which a third-party finds that current posting/bidding requirements impede the development of an efficient auction, the Commission encourages third-parties to propose an alternate method.   For example, to satisfy the requirement that prices be disclosed on a pipeline's Internet web site, the pipeline could be required to maintain a link on its web site to the web site of the third-party auctioneer. </w:t>
      </w:r>
    </w:p>
    <w:p>
      <w:pPr>
        <w:pStyle w:val="Normal"/>
        <w:rPr/>
      </w:pPr>
      <w:r>
        <w:rPr/>
      </w:r>
    </w:p>
    <w:p>
      <w:pPr>
        <w:pStyle w:val="Normal"/>
        <w:rPr/>
      </w:pPr>
      <w:r>
        <w:rPr/>
      </w:r>
    </w:p>
    <w:p>
      <w:pPr>
        <w:pStyle w:val="Heading2"/>
        <w:ind w:hanging="0" w:start="0"/>
        <w:rPr/>
      </w:pPr>
      <w:r>
        <w:rPr/>
        <w:t xml:space="preserve">E.   Capacity Release Scheduling Equality </w:t>
      </w:r>
      <w:r>
        <w:rPr>
          <w:b w:val="false"/>
        </w:rPr>
        <w:t>(p.109)</w:t>
      </w:r>
    </w:p>
    <w:p>
      <w:pPr>
        <w:pStyle w:val="Normal"/>
        <w:rPr>
          <w:b/>
        </w:rPr>
      </w:pPr>
      <w:r>
        <w:rPr>
          <w:b/>
        </w:rPr>
      </w:r>
    </w:p>
    <w:p>
      <w:pPr>
        <w:pStyle w:val="BodyTextIndent"/>
        <w:rPr/>
      </w:pPr>
      <w:r>
        <w:rPr/>
        <w:t>Order No. 637 requires that pipelines provide purchasers of released capacity the ability to submit a nomination at the first available opportunity after consummation of the release.  This allows capacity release to compete on a comparable basis with pipeline capacity.  On rehearing, the Commission reaffirms the policy of scheduling equality for capacity release.</w:t>
      </w:r>
    </w:p>
    <w:p>
      <w:pPr>
        <w:pStyle w:val="Normal"/>
        <w:rPr/>
      </w:pPr>
      <w:r>
        <w:rPr/>
      </w:r>
    </w:p>
    <w:p>
      <w:pPr>
        <w:pStyle w:val="Heading1"/>
        <w:rPr/>
      </w:pPr>
      <w:r>
        <w:rPr/>
        <w:t>Clarifications</w:t>
      </w:r>
    </w:p>
    <w:p>
      <w:pPr>
        <w:pStyle w:val="Normal"/>
        <w:numPr>
          <w:ilvl w:val="0"/>
          <w:numId w:val="16"/>
        </w:numPr>
        <w:rPr/>
      </w:pPr>
      <w:r>
        <w:rPr/>
        <w:t>A pipeline must permit shippers to release their no-notice service.  Further, if the pipeline permits shippers to receive no-notice service at flexible delivery points, it must permit the no-notice shipper to release that capacity with similar flexibility.</w:t>
      </w:r>
    </w:p>
    <w:p>
      <w:pPr>
        <w:pStyle w:val="Normal"/>
        <w:numPr>
          <w:ilvl w:val="0"/>
          <w:numId w:val="16"/>
        </w:numPr>
        <w:rPr/>
      </w:pPr>
      <w:r>
        <w:rPr/>
        <w:t>It is not necessary for the Commission to delay implementation of its new nomination requirements until GISB acts to amend section 5.3.2.</w:t>
      </w:r>
    </w:p>
    <w:p>
      <w:pPr>
        <w:pStyle w:val="Normal"/>
        <w:numPr>
          <w:ilvl w:val="0"/>
          <w:numId w:val="16"/>
        </w:numPr>
        <w:rPr/>
      </w:pPr>
      <w:r>
        <w:rPr/>
        <w:t xml:space="preserve">The Commission clarifies that the requirement is to </w:t>
      </w:r>
      <w:r>
        <w:rPr>
          <w:i/>
        </w:rPr>
        <w:t xml:space="preserve">issue </w:t>
      </w:r>
      <w:r>
        <w:rPr/>
        <w:t xml:space="preserve">the contract within one hour.  Issuance of the contract does not mean that it must be executed by both parties within one hour.  </w:t>
      </w:r>
    </w:p>
    <w:p>
      <w:pPr>
        <w:pStyle w:val="Normal"/>
        <w:numPr>
          <w:ilvl w:val="0"/>
          <w:numId w:val="16"/>
        </w:numPr>
        <w:rPr/>
      </w:pPr>
      <w:r>
        <w:rPr/>
        <w:t xml:space="preserve">The Commission recognizes that master agreements are a good way to achieve scheduling equality, but master agreements are not mandated. </w:t>
      </w:r>
    </w:p>
    <w:p>
      <w:pPr>
        <w:pStyle w:val="Normal"/>
        <w:rPr/>
      </w:pPr>
      <w:r>
        <w:rPr/>
      </w:r>
    </w:p>
    <w:p>
      <w:pPr>
        <w:pStyle w:val="Normal"/>
        <w:rPr/>
      </w:pPr>
      <w:r>
        <w:rPr/>
      </w:r>
    </w:p>
    <w:p>
      <w:pPr>
        <w:pStyle w:val="Heading2"/>
        <w:ind w:hanging="0" w:start="0"/>
        <w:rPr/>
      </w:pPr>
      <w:r>
        <w:rPr/>
        <w:t xml:space="preserve"> </w:t>
      </w:r>
      <w:r>
        <w:rPr/>
        <w:t xml:space="preserve">F.   Segmentation  </w:t>
      </w:r>
      <w:r>
        <w:rPr>
          <w:b w:val="false"/>
        </w:rPr>
        <w:t>(p.115)</w:t>
      </w:r>
    </w:p>
    <w:p>
      <w:pPr>
        <w:pStyle w:val="Normal"/>
        <w:rPr>
          <w:b/>
        </w:rPr>
      </w:pPr>
      <w:r>
        <w:rPr>
          <w:b/>
        </w:rPr>
      </w:r>
    </w:p>
    <w:p>
      <w:pPr>
        <w:pStyle w:val="BodyTextIndent"/>
        <w:rPr/>
      </w:pPr>
      <w:r>
        <w:rPr/>
        <w:t xml:space="preserve">In Order No. 637, the Commission adopted a new segmentation regulation requiring pipelines to allow shippers to segment capacity for their own use or for capacity release unless there are operational reasons to limit segmentation.  The segmentation regulation is not changed by the rehearing order. The order does offer clarification on certain points and sets forth a segmentation example. </w:t>
      </w:r>
    </w:p>
    <w:p>
      <w:pPr>
        <w:pStyle w:val="Normal"/>
        <w:rPr/>
      </w:pPr>
      <w:r>
        <w:rPr/>
      </w:r>
    </w:p>
    <w:p>
      <w:pPr>
        <w:pStyle w:val="Normal"/>
        <w:numPr>
          <w:ilvl w:val="0"/>
          <w:numId w:val="3"/>
        </w:numPr>
        <w:tabs>
          <w:tab w:val="clear" w:pos="720"/>
          <w:tab w:val="left" w:pos="810" w:leader="none"/>
        </w:tabs>
        <w:ind w:hanging="360" w:start="810" w:end="0"/>
        <w:rPr/>
      </w:pPr>
      <w:r>
        <w:rPr/>
        <w:t>Segmentation cannot be limited for economic reasons.  If a pipeline currently using a postage stamp rate structure finds that providing segmentation or defining capacity paths would be more feasible with a redesign of its rates, the pipeline can make a section 4 filing to establish rates more consonant with segmentation.</w:t>
      </w:r>
    </w:p>
    <w:p>
      <w:pPr>
        <w:pStyle w:val="Normal"/>
        <w:numPr>
          <w:ilvl w:val="0"/>
          <w:numId w:val="10"/>
        </w:numPr>
        <w:tabs>
          <w:tab w:val="clear" w:pos="720"/>
          <w:tab w:val="left" w:pos="810" w:leader="none"/>
        </w:tabs>
        <w:ind w:hanging="360" w:start="810" w:end="0"/>
        <w:rPr/>
      </w:pPr>
      <w:r>
        <w:rPr/>
        <w:t xml:space="preserve">Overlapping capacity segments.  The rehearing order reaffirms that pipelines are not required to permit segmentation in a situation where the nominations by a shipper or a combination of releasing and replacement shippers exceed the contract demand of the underlying contract on any segment.  </w:t>
      </w:r>
    </w:p>
    <w:p>
      <w:pPr>
        <w:pStyle w:val="Normal"/>
        <w:numPr>
          <w:ilvl w:val="0"/>
          <w:numId w:val="16"/>
        </w:numPr>
        <w:rPr/>
      </w:pPr>
      <w:r>
        <w:rPr/>
        <w:t>Shippers should be permitted to use a forwardhaul and a backhaul to deliver gas as long as the mainline contract demand is not exceeded and they can take delivery of the gas.</w:t>
      </w:r>
    </w:p>
    <w:p>
      <w:pPr>
        <w:pStyle w:val="Normal"/>
        <w:numPr>
          <w:ilvl w:val="0"/>
          <w:numId w:val="13"/>
        </w:numPr>
        <w:tabs>
          <w:tab w:val="clear" w:pos="720"/>
          <w:tab w:val="left" w:pos="810" w:leader="none"/>
        </w:tabs>
        <w:ind w:hanging="360" w:start="810" w:end="0"/>
        <w:rPr/>
      </w:pPr>
      <w:r>
        <w:rPr/>
        <w:t>Shippers can segment at any points on the pipeline, including pooling points.</w:t>
      </w:r>
    </w:p>
    <w:p>
      <w:pPr>
        <w:pStyle w:val="Heading5"/>
        <w:rPr/>
      </w:pPr>
      <w:r>
        <w:rPr/>
        <w:t>Flexible Primary Point Rights</w:t>
      </w:r>
    </w:p>
    <w:p>
      <w:pPr>
        <w:pStyle w:val="Normal"/>
        <w:ind w:start="360" w:end="0"/>
        <w:rPr/>
      </w:pPr>
      <w:r>
        <w:rPr/>
        <w:t>The rehearing order does not make any generic requirements about segmentation point rights, instead leaving these details to individual filings.  However, the Commission does offer general observations for crafting segmentation provisions. Permitting flexibility in the selection of primary points in segmented releases helps to create effective competition between pipeline services and released capacity.  Pipelines should not be able to continue to rely upon their historic tariff practices, but need to justify restrictions on shippers' ability to use additional primary points in segmented transactions.  The Commission suggests that on a fully subscribed pipeline where receipt point capacity exceeds mainline capacity fivefold, the pipeline could permit shippers to select primary receipt point rights well in excess of their mainline contract demand, since the pipeline has no capacity left to sell and, therefore, needs to reserve no receipt point capacity in order to sell unsubscribed capacity.</w:t>
      </w:r>
    </w:p>
    <w:p>
      <w:pPr>
        <w:pStyle w:val="Normal"/>
        <w:rPr/>
      </w:pPr>
      <w:r>
        <w:rPr/>
      </w:r>
    </w:p>
    <w:p>
      <w:pPr>
        <w:pStyle w:val="Normal"/>
        <w:ind w:start="360" w:end="0"/>
        <w:rPr/>
      </w:pPr>
      <w:r>
        <w:rPr>
          <w:b/>
        </w:rPr>
        <w:t>Point discounts</w:t>
      </w:r>
      <w:r>
        <w:rPr/>
        <w:t xml:space="preserve">  </w:t>
      </w:r>
    </w:p>
    <w:p>
      <w:pPr>
        <w:pStyle w:val="BodyTextIndent2"/>
        <w:rPr/>
      </w:pPr>
      <w:r>
        <w:rPr/>
        <w:t>Under current policy, a pipeline may limit a shipper's discount to particular receipt and  delivery points.  The Commission recognizes that pipelines may have underutilized segments of their pipelines for which they may need to offer discounts and such discounts should not necessarily entitle shippers to move gas in more highly utilized portions of the pipeline.  The rehearing order questions whether this policy should continue to be applied for segmented transactions that occur within the path of the shipper's transportation contract.  Once the pipeline has decided that a discount is needed to stimulate throughput in a section of the pipeline, that shipper should be permitted to use flexible point rights and segment capacity along that capacity path without incurring additional charges. These issues should be addressed in the pipeline's compliance filing.</w:t>
      </w:r>
    </w:p>
    <w:p>
      <w:pPr>
        <w:pStyle w:val="Normal"/>
        <w:rPr/>
      </w:pPr>
      <w:r>
        <w:rPr/>
      </w:r>
    </w:p>
    <w:p>
      <w:pPr>
        <w:pStyle w:val="Normal"/>
        <w:ind w:start="360" w:end="0"/>
        <w:rPr/>
      </w:pPr>
      <w:r>
        <w:rPr>
          <w:b/>
        </w:rPr>
        <w:t>Segmentation through Nomination Process</w:t>
      </w:r>
      <w:r>
        <w:rPr/>
        <w:t xml:space="preserve"> </w:t>
      </w:r>
    </w:p>
    <w:p>
      <w:pPr>
        <w:pStyle w:val="Normal"/>
        <w:ind w:start="360" w:end="0"/>
        <w:rPr/>
      </w:pPr>
      <w:r>
        <w:rPr/>
        <w:t>El Paso and Kinder Morgan ask for clarification of the requirement that shippers be given the ability to segment capacity for their own use through the nomination process, without having to use the capacity release process to effectuate segmentation.  In the rehearing order, the Commission  states that it expects pipelines to permit shippers to schedule segmented transactions for their own use in as efficient manner as possible through the nomination process and to revise their computer systems to permit such nominations as soon as is feasible.  Until such computer revisions are made, pipelines should permit segmented transactions in the most efficient method feasible given their current computer configurations.</w:t>
      </w:r>
    </w:p>
    <w:p>
      <w:pPr>
        <w:pStyle w:val="Normal"/>
        <w:rPr/>
      </w:pPr>
      <w:r>
        <w:rPr/>
      </w:r>
    </w:p>
    <w:p>
      <w:pPr>
        <w:pStyle w:val="Normal"/>
        <w:rPr/>
      </w:pPr>
      <w:r>
        <w:rPr/>
      </w:r>
    </w:p>
    <w:p>
      <w:pPr>
        <w:pStyle w:val="Heading6"/>
        <w:numPr>
          <w:ilvl w:val="0"/>
          <w:numId w:val="5"/>
        </w:numPr>
        <w:ind w:hanging="0" w:start="0"/>
        <w:rPr/>
      </w:pPr>
      <w:r>
        <w:rPr/>
        <w:t xml:space="preserve">Priority at Secondary Points Within the Path </w:t>
      </w:r>
      <w:r>
        <w:rPr>
          <w:b w:val="false"/>
        </w:rPr>
        <w:t>(p.134)</w:t>
      </w:r>
    </w:p>
    <w:p>
      <w:pPr>
        <w:pStyle w:val="Footer"/>
        <w:tabs>
          <w:tab w:val="clear" w:pos="4320"/>
          <w:tab w:val="clear" w:pos="8640"/>
        </w:tabs>
        <w:rPr/>
      </w:pPr>
      <w:r>
        <w:rPr/>
      </w:r>
    </w:p>
    <w:p>
      <w:pPr>
        <w:pStyle w:val="Normal"/>
        <w:ind w:start="405" w:end="0"/>
        <w:rPr/>
      </w:pPr>
      <w:r>
        <w:rPr/>
        <w:t xml:space="preserve">In this rehearing order, the Commission is making a significant change to its policies on secondary point priorities by implementing a within-the-path priority scheme.  </w:t>
      </w:r>
    </w:p>
    <w:p>
      <w:pPr>
        <w:pStyle w:val="Normal"/>
        <w:ind w:start="405" w:end="0"/>
        <w:rPr/>
      </w:pPr>
      <w:r>
        <w:rPr/>
      </w:r>
    </w:p>
    <w:p>
      <w:pPr>
        <w:pStyle w:val="Normal"/>
        <w:ind w:start="405" w:end="0"/>
        <w:rPr/>
      </w:pPr>
      <w:r>
        <w:rPr/>
        <w:t>Under current policy, mainline capacity is allocated on a pro rata basis among shippers seeking to use secondary points.  The justification for pro rata allocation was that two customers paying the same rate should receive the same priority of service to secondary points.  The Commission is now concerned that providing all shippers in a zone with equal scheduling rights to secondary points creates too much uncertainty and finds that the use of within-the-path priority better promotes efficient allocation of capacity.  Accordingly, each pipeline must use the within-the-path allocation method in its compliance filing unless it can demonstrate that such an approach is operationally infeasible.  The Commission encourages pipelines to look closely at their zone boundaries and to develop more efficient methods of allocating capacity based on price.</w:t>
      </w:r>
    </w:p>
    <w:p>
      <w:pPr>
        <w:pStyle w:val="Normal"/>
        <w:rPr/>
      </w:pPr>
      <w:r>
        <w:rPr/>
      </w:r>
    </w:p>
    <w:p>
      <w:pPr>
        <w:pStyle w:val="Footer"/>
        <w:tabs>
          <w:tab w:val="clear" w:pos="4320"/>
          <w:tab w:val="clear" w:pos="8640"/>
        </w:tabs>
        <w:rPr/>
      </w:pPr>
      <w:r>
        <w:rPr/>
      </w:r>
    </w:p>
    <w:p>
      <w:pPr>
        <w:pStyle w:val="Heading2"/>
        <w:ind w:hanging="0" w:start="0"/>
        <w:rPr/>
      </w:pPr>
      <w:r>
        <w:rPr/>
        <w:t xml:space="preserve">H.   Imbalance Services, Operational Flow Orders and Penalties </w:t>
      </w:r>
      <w:r>
        <w:rPr>
          <w:b w:val="false"/>
        </w:rPr>
        <w:t>(p.138)</w:t>
      </w:r>
    </w:p>
    <w:p>
      <w:pPr>
        <w:pStyle w:val="Normal"/>
        <w:rPr>
          <w:b/>
        </w:rPr>
      </w:pPr>
      <w:r>
        <w:rPr>
          <w:b/>
        </w:rPr>
      </w:r>
    </w:p>
    <w:p>
      <w:pPr>
        <w:pStyle w:val="BodyTextIndent"/>
        <w:rPr/>
      </w:pPr>
      <w:r>
        <w:rPr/>
        <w:t>In Order No. 637, the Commission announced that it was shifting its policy away from one that fosters the use of OFOs and penalties, to a "service-oriented" policy that gives shippers other options to obtain flexibility and relies on penalties only when necessary to protect system integrity.   To accomplish this change, pipelines were required to offer imbalance management services, like park and loan service; to establish incentives and procedures to minimize the use of OFOs; to include in their tariffs only those penalties that are necessary to protect the system; and to credit any penalty revenues.  The order on rehearing reaffirms this framework and offers a number of clarifications.</w:t>
      </w:r>
    </w:p>
    <w:p>
      <w:pPr>
        <w:pStyle w:val="Normal"/>
        <w:rPr/>
      </w:pPr>
      <w:r>
        <w:rPr/>
      </w:r>
    </w:p>
    <w:p>
      <w:pPr>
        <w:pStyle w:val="Heading7"/>
        <w:rPr/>
      </w:pPr>
      <w:r>
        <w:rPr/>
        <w:t>General Clarifications</w:t>
      </w:r>
    </w:p>
    <w:p>
      <w:pPr>
        <w:pStyle w:val="Normal"/>
        <w:numPr>
          <w:ilvl w:val="0"/>
          <w:numId w:val="7"/>
        </w:numPr>
        <w:tabs>
          <w:tab w:val="clear" w:pos="720"/>
          <w:tab w:val="left" w:pos="810" w:leader="none"/>
        </w:tabs>
        <w:ind w:hanging="360" w:start="810" w:end="0"/>
        <w:rPr/>
      </w:pPr>
      <w:r>
        <w:rPr/>
        <w:t xml:space="preserve">The Commission reaffirms that pipelines may retain the revenues from new services initiated between rate cases.  </w:t>
      </w:r>
    </w:p>
    <w:p>
      <w:pPr>
        <w:pStyle w:val="Normal"/>
        <w:numPr>
          <w:ilvl w:val="0"/>
          <w:numId w:val="8"/>
        </w:numPr>
        <w:tabs>
          <w:tab w:val="clear" w:pos="720"/>
          <w:tab w:val="left" w:pos="810" w:leader="none"/>
        </w:tabs>
        <w:ind w:hanging="360" w:start="810" w:end="0"/>
        <w:rPr/>
      </w:pPr>
      <w:r>
        <w:rPr/>
        <w:t>If a pipeline's tariff does not include OFO provisions and imbalance penalty provisions, it need not provide imbalance management services or information on imbalance status.  Sec.284.12(c)(iii) and (c)(v) are amended accordingly.  (p.145)</w:t>
      </w:r>
    </w:p>
    <w:p>
      <w:pPr>
        <w:pStyle w:val="Normal"/>
        <w:numPr>
          <w:ilvl w:val="0"/>
          <w:numId w:val="8"/>
        </w:numPr>
        <w:tabs>
          <w:tab w:val="clear" w:pos="720"/>
          <w:tab w:val="left" w:pos="810" w:leader="none"/>
        </w:tabs>
        <w:ind w:hanging="360" w:start="810" w:end="0"/>
        <w:rPr/>
      </w:pPr>
      <w:r>
        <w:rPr/>
        <w:t>The term "imbalance" applies to both physical and scheduling imbalances. (p.174)</w:t>
      </w:r>
    </w:p>
    <w:p>
      <w:pPr>
        <w:pStyle w:val="Normal"/>
        <w:rPr/>
      </w:pPr>
      <w:r>
        <w:rPr/>
      </w:r>
    </w:p>
    <w:p>
      <w:pPr>
        <w:pStyle w:val="Heading7"/>
        <w:rPr/>
      </w:pPr>
      <w:r>
        <w:rPr/>
        <w:t>Imbalance Netting and Trading</w:t>
      </w:r>
    </w:p>
    <w:p>
      <w:pPr>
        <w:pStyle w:val="BodyTextIndent"/>
        <w:rPr/>
      </w:pPr>
      <w:r>
        <w:rPr/>
        <w:t>In Order No. 637, the Commission imposed a moratorium on approving pipeline filings to establish imbalance services unless the pipeline has an imbalance netting and trading mechanism.  In the rehearing order, the Commission states that pipelines that wish to implement imbalance services must also implement imbalance netting and trading even though the GISB standards are not complete.  However, they do not need to establish EDI netting and trading formats until GISB has approved the relevant technical standards.</w:t>
      </w:r>
    </w:p>
    <w:p>
      <w:pPr>
        <w:pStyle w:val="Normal"/>
        <w:rPr>
          <w:sz w:val="18"/>
        </w:rPr>
      </w:pPr>
      <w:r>
        <w:rPr>
          <w:sz w:val="18"/>
        </w:rPr>
      </w:r>
    </w:p>
    <w:p>
      <w:pPr>
        <w:pStyle w:val="Heading3"/>
        <w:rPr/>
      </w:pPr>
      <w:r>
        <w:rPr/>
        <w:t>Third-Party Balancing Services</w:t>
      </w:r>
    </w:p>
    <w:p>
      <w:pPr>
        <w:pStyle w:val="Normal"/>
        <w:ind w:start="450" w:end="0"/>
        <w:rPr/>
      </w:pPr>
      <w:r>
        <w:rPr/>
        <w:t xml:space="preserve">Several parties asked the Commission to clarify the requirement that pipelines make third-party balancing services available.  The rehearing order responds that the pipeline's tariff should not contain restrictions that prevent third-party imbalance providers from competing with the pipeline. Whether a third-party provider is performing jurisdictional transportation service is dependent on the characteristics of the particular imbalance management service being provided.   For example, an imbalance management service provided by a third- party may consist simply of the sale of gas to make up an underdelivery.   In the event a pipeline faces sufficient competition for imbalance management services from third party providers, the pipeline may be able to justify a request for market-based rates for that service.  </w:t>
      </w:r>
    </w:p>
    <w:p>
      <w:pPr>
        <w:pStyle w:val="Normal"/>
        <w:rPr>
          <w:sz w:val="18"/>
        </w:rPr>
      </w:pPr>
      <w:r>
        <w:rPr>
          <w:sz w:val="18"/>
        </w:rPr>
      </w:r>
    </w:p>
    <w:p>
      <w:pPr>
        <w:pStyle w:val="Heading3"/>
        <w:rPr/>
      </w:pPr>
      <w:r>
        <w:rPr/>
        <w:t>Operational Flow Orders</w:t>
      </w:r>
    </w:p>
    <w:p>
      <w:pPr>
        <w:pStyle w:val="BodyTextIndent3"/>
        <w:ind w:hanging="0" w:start="450" w:end="0"/>
        <w:rPr/>
      </w:pPr>
      <w:r>
        <w:rPr/>
        <w:t xml:space="preserve">The rehearing order reaffirms the requirement that pipelines revise their tariffs to address the manner in which OFOs are imposed.   The rehearing order clarifies that pipelines may build flexibility into the standards and  procedures so that OFOs may be issued based on expectations or in anticipation of particular operating conditions. </w:t>
      </w:r>
    </w:p>
    <w:p>
      <w:pPr>
        <w:pStyle w:val="Normal"/>
        <w:rPr/>
      </w:pPr>
      <w:r>
        <w:rPr/>
      </w:r>
    </w:p>
    <w:p>
      <w:pPr>
        <w:pStyle w:val="Heading3"/>
        <w:rPr/>
      </w:pPr>
      <w:r>
        <w:rPr/>
        <w:t>Penalty Crediting</w:t>
      </w:r>
    </w:p>
    <w:p>
      <w:pPr>
        <w:pStyle w:val="Normal"/>
        <w:ind w:start="450" w:end="0"/>
        <w:rPr/>
      </w:pPr>
      <w:r>
        <w:rPr/>
        <w:t xml:space="preserve">The rehearing order reaffirmed that penalty revenues must be credited and offered general guidance on revenue crediting mechanisms.  Pipelines that seek to net out costs incurred as a result of a shipper's actions that caused the penalty must demonstrate that the shipper's conduct in fact caused such costs. Pipelines seeking to offset penalty revenues included in developing underlying rates should explain this in their compliance filings.  The Commission will not allow pipelines to establish a surcharge mechanism to recoup revenue credits from firm customers to recover additional costs discovered after-the-fact.  The Commission expects pipelines to  build into their revenue crediting mechanisms a reasonable amount of time in which to accurately determine costs before crediting the revenues.  </w:t>
      </w:r>
    </w:p>
    <w:p>
      <w:pPr>
        <w:pStyle w:val="Normal"/>
        <w:rPr/>
      </w:pPr>
      <w:r>
        <w:rPr/>
      </w:r>
    </w:p>
    <w:p>
      <w:pPr>
        <w:pStyle w:val="BodyTextIndent"/>
        <w:rPr>
          <w:b/>
        </w:rPr>
      </w:pPr>
      <w:r>
        <w:rPr>
          <w:b/>
        </w:rPr>
        <w:t>Cash-Out Mechanisms &amp; Scheduling Penalties to be part of Compliance Filings</w:t>
      </w:r>
    </w:p>
    <w:p>
      <w:pPr>
        <w:pStyle w:val="BodyTextIndent"/>
        <w:rPr/>
      </w:pPr>
      <w:r>
        <w:rPr/>
        <w:t xml:space="preserve">Several parties asked the Commission to clarify whether a tiered cash-out program or unauthorized gas overrun charges are considered penalties. The Commission responds that it considers a penalty to be any charge imposed by the pipeline on a shipper that is designed to deter shippers from engaging in certain conduct and reflects more than simply the costs incurred as a result of the conduct.  Thus, the term "penalty" includes scheduling, OFO, and unauthorized overrun penalties.  While a tiered cash-out program is a penalty mechanism, a cash-out mechanism that only requires the shipper to reimburse for the cost of gas provided by the pipeline is not a penalty.  Therefore, the Commission expects pipelines to include in their pro forma compliance filings their cash-out provisions, in addition to their provisions for imbalance management services, netting and trading, OFOs and penalties.  </w:t>
      </w:r>
    </w:p>
    <w:p>
      <w:pPr>
        <w:pStyle w:val="Normal"/>
        <w:ind w:start="450" w:end="0"/>
        <w:rPr/>
      </w:pPr>
      <w:r>
        <w:rPr/>
      </w:r>
    </w:p>
    <w:p>
      <w:pPr>
        <w:pStyle w:val="Normal"/>
        <w:ind w:start="450" w:end="0"/>
        <w:rPr/>
      </w:pPr>
      <w:r>
        <w:rPr/>
      </w:r>
    </w:p>
    <w:p>
      <w:pPr>
        <w:pStyle w:val="Normal"/>
        <w:ind w:start="450" w:end="0"/>
        <w:rPr/>
      </w:pPr>
      <w:r>
        <w:rPr/>
      </w:r>
    </w:p>
    <w:p>
      <w:pPr>
        <w:pStyle w:val="Heading6"/>
        <w:numPr>
          <w:ilvl w:val="0"/>
          <w:numId w:val="0"/>
        </w:numPr>
        <w:ind w:hanging="0" w:start="0"/>
        <w:rPr/>
      </w:pPr>
      <w:r>
        <w:rPr/>
        <w:t xml:space="preserve">I.    Reporting Requirements  </w:t>
      </w:r>
      <w:r>
        <w:rPr>
          <w:b w:val="false"/>
        </w:rPr>
        <w:t>(p.175)</w:t>
      </w:r>
    </w:p>
    <w:p>
      <w:pPr>
        <w:pStyle w:val="Normal"/>
        <w:ind w:start="405" w:end="0"/>
        <w:rPr>
          <w:b/>
        </w:rPr>
      </w:pPr>
      <w:r>
        <w:rPr>
          <w:b/>
        </w:rPr>
      </w:r>
    </w:p>
    <w:p>
      <w:pPr>
        <w:pStyle w:val="Normal"/>
        <w:ind w:start="405" w:end="0"/>
        <w:rPr/>
      </w:pPr>
      <w:r>
        <w:rPr/>
        <w:t>Order No. 637 requires pipelines to report the same transactional information about firm and interruptible transactions as is currently posted on capacity transactions. The rehearing order reaffirms this requirement, dismissing arguments about confidentiality and burden, and makes only minor revisions to clarify the timing of posting, the need to post amendments and the types of information that must be included as special terms.</w:t>
      </w:r>
    </w:p>
    <w:p>
      <w:pPr>
        <w:pStyle w:val="Normal"/>
        <w:rPr>
          <w:sz w:val="18"/>
        </w:rPr>
      </w:pPr>
      <w:r>
        <w:rPr>
          <w:sz w:val="18"/>
        </w:rPr>
      </w:r>
    </w:p>
    <w:p>
      <w:pPr>
        <w:pStyle w:val="Normal"/>
        <w:ind w:start="405" w:end="0"/>
        <w:rPr/>
      </w:pPr>
      <w:r>
        <w:rPr>
          <w:b/>
        </w:rPr>
        <w:t xml:space="preserve">Timing of the Posting of Transactional Information  </w:t>
      </w:r>
      <w:r>
        <w:rPr/>
        <w:t>(p.188)</w:t>
      </w:r>
    </w:p>
    <w:p>
      <w:pPr>
        <w:pStyle w:val="Normal"/>
        <w:ind w:start="405" w:end="0"/>
        <w:rPr/>
      </w:pPr>
      <w:r>
        <w:rPr/>
        <w:t>Order No. 637 required that pipelines post the transactional information "contemporaneously with the execution or revision of a contract for service."   On rehearing, Enron asked that transactional information be posted at the commencement of service similar to prearranged capacity release transactions.  The rehearing order grants this request and modified sections 284.13(b)(1) and (2) to require that transactional information for both firm and interruptible service be posted no later than the first nomination for service under the agreement.  This change also moots concerns that expansion contracts would have to be posted prior to the in-service of facilities.</w:t>
      </w:r>
    </w:p>
    <w:p>
      <w:pPr>
        <w:pStyle w:val="Normal"/>
        <w:rPr>
          <w:sz w:val="18"/>
        </w:rPr>
      </w:pPr>
      <w:r>
        <w:rPr>
          <w:sz w:val="18"/>
        </w:rPr>
      </w:r>
    </w:p>
    <w:p>
      <w:pPr>
        <w:pStyle w:val="Normal"/>
        <w:ind w:start="405" w:end="0"/>
        <w:rPr/>
      </w:pPr>
      <w:r>
        <w:rPr>
          <w:b/>
        </w:rPr>
        <w:t xml:space="preserve">Interruptible Postings </w:t>
      </w:r>
      <w:r>
        <w:rPr/>
        <w:t>(p.198)</w:t>
      </w:r>
    </w:p>
    <w:p>
      <w:pPr>
        <w:pStyle w:val="BodyTextIndent"/>
        <w:rPr/>
      </w:pPr>
      <w:r>
        <w:rPr/>
        <w:t xml:space="preserve">The Commission reaffirms that pipelines must post interruptible transaction on a daily basis prior to the first nomination under such an agreement.  Any time a rate or other condition of the interruptible agreement changes the pipeline must post the change. Under this approach, the pipeline could post the interruptible agreement on the first of the month and simply leave that posting as long as the rate or other aspects of the agreement have not changed.  But once those agreements have changed, the pipeline would have to repost the transaction.  Section 284.13(b)(2)(iv) is revised to require the posting of the receipt and delivery points over which the shipper is entitled to transport gas at the particular rate, not simply the receipt and delivery points in the master contract.  </w:t>
      </w:r>
    </w:p>
    <w:p>
      <w:pPr>
        <w:pStyle w:val="Normal"/>
        <w:rPr/>
      </w:pPr>
      <w:r>
        <w:rPr/>
      </w:r>
    </w:p>
    <w:p>
      <w:pPr>
        <w:pStyle w:val="Heading1"/>
        <w:rPr/>
      </w:pPr>
      <w:r>
        <w:rPr/>
        <w:t>Pre-Existing Transactions Need Not Be Posted</w:t>
      </w:r>
    </w:p>
    <w:p>
      <w:pPr>
        <w:pStyle w:val="Normal"/>
        <w:ind w:start="450" w:end="0"/>
        <w:rPr/>
      </w:pPr>
      <w:r>
        <w:rPr/>
        <w:t xml:space="preserve">The transactional reporting requirement is prospective only. For all new firm contracts that are executed after September 1, 2000, </w:t>
      </w:r>
      <w:r>
        <w:rPr>
          <w:i/>
        </w:rPr>
        <w:t>existing contracts that are revised after that date</w:t>
      </w:r>
      <w:r>
        <w:rPr/>
        <w:t xml:space="preserve">, and for interruptible transactions taking place after that date, pipelines are required to post a transactional report no later than the first nomination for service under the new or revised contract.  Primary receipt and delivery point changes are considered revisions that must be posted. </w:t>
      </w:r>
    </w:p>
    <w:p>
      <w:pPr>
        <w:pStyle w:val="Normal"/>
        <w:ind w:start="450" w:end="0"/>
        <w:rPr>
          <w:sz w:val="18"/>
        </w:rPr>
      </w:pPr>
      <w:r>
        <w:rPr>
          <w:sz w:val="18"/>
        </w:rPr>
      </w:r>
    </w:p>
    <w:p>
      <w:pPr>
        <w:pStyle w:val="Heading9"/>
        <w:ind w:hanging="0" w:start="450" w:end="0"/>
        <w:rPr/>
      </w:pPr>
      <w:r>
        <w:rPr>
          <w:sz w:val="24"/>
        </w:rPr>
        <w:t xml:space="preserve">Reporting of Special Terms </w:t>
      </w:r>
      <w:r>
        <w:rPr>
          <w:b w:val="false"/>
          <w:sz w:val="24"/>
        </w:rPr>
        <w:t>(p.205)</w:t>
      </w:r>
    </w:p>
    <w:p>
      <w:pPr>
        <w:pStyle w:val="BodyTextIndent"/>
        <w:rPr>
          <w:sz w:val="18"/>
        </w:rPr>
      </w:pPr>
      <w:r>
        <w:rPr/>
        <w:t>The rehearing order discusses several types of provisions that must be disclosed.  First, the Commission revises the regulation to require that a pipeline must disclose whether a contract contains a negotiated rate.  Second, the Commission revised the regulations to require the disclosure of all aspects in which agreements deviate from the pipeline's tariff.  Third, the Commission adds to the regulation the requirement to post special details pertaining to the contract "including conditions attached to a discounted transportation contract</w:t>
      </w:r>
    </w:p>
    <w:p>
      <w:pPr>
        <w:pStyle w:val="Normal"/>
        <w:ind w:start="450" w:end="0"/>
        <w:rPr>
          <w:sz w:val="18"/>
        </w:rPr>
      </w:pPr>
      <w:r>
        <w:rPr>
          <w:sz w:val="18"/>
        </w:rPr>
      </w:r>
    </w:p>
    <w:p>
      <w:pPr>
        <w:pStyle w:val="Normal"/>
        <w:ind w:start="450" w:end="0"/>
        <w:rPr>
          <w:b/>
        </w:rPr>
      </w:pPr>
      <w:r>
        <w:rPr>
          <w:b/>
        </w:rPr>
        <w:t xml:space="preserve">Index of Customers </w:t>
      </w:r>
      <w:r>
        <w:rPr/>
        <w:t>(p.210)</w:t>
      </w:r>
    </w:p>
    <w:p>
      <w:pPr>
        <w:pStyle w:val="Normal"/>
        <w:ind w:start="450" w:end="0"/>
        <w:rPr/>
      </w:pPr>
      <w:r>
        <w:rPr/>
        <w:t>Order No. 637 expanded the Index of Customers to include, among other things, receipt/delivery points, negotiated rates, the names of any agents or asset managers, and any affiliate relationship between the pipeline and the holder of capacity.  The rehearing order maintains the new requirements without change.</w:t>
      </w:r>
    </w:p>
    <w:p>
      <w:pPr>
        <w:pStyle w:val="Normal"/>
        <w:ind w:start="450" w:end="0"/>
        <w:rPr>
          <w:sz w:val="18"/>
        </w:rPr>
      </w:pPr>
      <w:r>
        <w:rPr>
          <w:sz w:val="18"/>
        </w:rPr>
      </w:r>
    </w:p>
    <w:p>
      <w:pPr>
        <w:pStyle w:val="Heading2"/>
        <w:ind w:hanging="0" w:start="450" w:end="0"/>
        <w:rPr/>
      </w:pPr>
      <w:r>
        <w:rPr/>
        <w:t xml:space="preserve">Affiliate Regulations </w:t>
      </w:r>
      <w:r>
        <w:rPr>
          <w:b w:val="false"/>
        </w:rPr>
        <w:t>(p.212)</w:t>
      </w:r>
    </w:p>
    <w:p>
      <w:pPr>
        <w:pStyle w:val="Normal"/>
        <w:ind w:start="450" w:end="0"/>
        <w:rPr/>
      </w:pPr>
      <w:r>
        <w:rPr/>
        <w:t xml:space="preserve"> </w:t>
      </w:r>
      <w:r>
        <w:rPr/>
        <w:t>In Order No. 637, the Commission revised the standards of conduct to require pipelines with marketing affiliates to post (and update within three business days of any change) the following information: a list of shared operating personnel and facilities; organizational charts showing the structure of the parent corporation and the relative position within the corporate structure of the pipeline and all marketing affiliates; and organizational charts showing the business units, job titles, job descriptions, and chain of command for all positions within the pipeline. In addition, the pipeline must also include the names of supervisory employees who manage non- clerical employees involved in transportation or gas sales.</w:t>
      </w:r>
      <w:r>
        <w:rPr>
          <w:sz w:val="18"/>
        </w:rPr>
        <w:t xml:space="preserve"> </w:t>
      </w:r>
    </w:p>
    <w:p>
      <w:pPr>
        <w:pStyle w:val="Normal"/>
        <w:ind w:start="450" w:end="0"/>
        <w:rPr>
          <w:sz w:val="18"/>
        </w:rPr>
      </w:pPr>
      <w:r>
        <w:rPr>
          <w:sz w:val="18"/>
        </w:rPr>
      </w:r>
    </w:p>
    <w:p>
      <w:pPr>
        <w:pStyle w:val="Normal"/>
        <w:ind w:start="450" w:end="0"/>
        <w:rPr/>
      </w:pPr>
      <w:r>
        <w:rPr/>
        <w:t xml:space="preserve">The rehearing order keeps the new organizational chart requirements and denies requests to eliminate the three-day updating requirement in favor of a quarterly update interval.   The Commission acknowledges the brisk pace of regulatory change but states that “a pipeline must consider the application of the standards of conduct to a proposed organizational change before it makes such changes.”  The Commission does make a minor modification to require updates within three business days </w:t>
      </w:r>
      <w:r>
        <w:rPr>
          <w:i/>
        </w:rPr>
        <w:t>of any change taking effect</w:t>
      </w:r>
      <w:r>
        <w:rPr/>
        <w:t xml:space="preserve">, rather than prior to the effective date. </w:t>
      </w:r>
    </w:p>
    <w:p>
      <w:pPr>
        <w:pStyle w:val="Normal"/>
        <w:ind w:start="450" w:end="0"/>
        <w:rPr>
          <w:sz w:val="18"/>
        </w:rPr>
      </w:pPr>
      <w:r>
        <w:rPr>
          <w:sz w:val="18"/>
        </w:rPr>
      </w:r>
    </w:p>
    <w:p>
      <w:pPr>
        <w:pStyle w:val="Normal"/>
        <w:ind w:start="450" w:end="0"/>
        <w:rPr/>
      </w:pPr>
      <w:r>
        <w:rPr>
          <w:b/>
        </w:rPr>
        <w:t xml:space="preserve">Available Capacity </w:t>
      </w:r>
      <w:r>
        <w:rPr/>
        <w:t>(p.220)</w:t>
      </w:r>
    </w:p>
    <w:p>
      <w:pPr>
        <w:pStyle w:val="Normal"/>
        <w:ind w:start="450" w:end="0"/>
        <w:rPr/>
      </w:pPr>
      <w:r>
        <w:rPr/>
        <w:t xml:space="preserve">Per Order No. 637 pipelines are required to post the total design capacity of each point or segment on the system; the amount of capacity scheduled at each point or segment on a daily basis; and information on planned and actual service outages. Several parties sought rehearing to require the posting of available capacity at each intraday nomination cycle.  The Commission grants rehearing, and revises section 284.13(d)(1) to require that pipelines post the available and scheduled capacity information </w:t>
      </w:r>
      <w:r>
        <w:rPr>
          <w:i/>
        </w:rPr>
        <w:t>when they provide scheduling information to their shippers</w:t>
      </w:r>
      <w:r>
        <w:rPr/>
        <w:t xml:space="preserve">.  This will enable shippers to use this information to help in planning their nominations for the next nomination opportunity. The Commission will not require actual flow data to be reported. </w:t>
      </w:r>
    </w:p>
    <w:p>
      <w:pPr>
        <w:pStyle w:val="Normal"/>
        <w:ind w:start="450" w:end="0"/>
        <w:rPr/>
      </w:pPr>
      <w:r>
        <w:rPr/>
      </w:r>
    </w:p>
    <w:p>
      <w:pPr>
        <w:pStyle w:val="Normal"/>
        <w:ind w:start="450" w:end="0"/>
        <w:rPr>
          <w:b/>
        </w:rPr>
      </w:pPr>
      <w:r>
        <w:rPr>
          <w:b/>
        </w:rPr>
        <w:t>September 1, 2000 Implementation</w:t>
      </w:r>
    </w:p>
    <w:p>
      <w:pPr>
        <w:pStyle w:val="Normal"/>
        <w:ind w:start="450" w:end="0"/>
        <w:rPr/>
      </w:pPr>
      <w:r>
        <w:rPr/>
        <w:t>The Commission will not delay the reporting date to await GISB standards. However, the Commission will not require EDI formats until GISB has completed its standards development.</w:t>
      </w:r>
    </w:p>
    <w:p>
      <w:pPr>
        <w:pStyle w:val="Normal"/>
        <w:ind w:start="450" w:end="0"/>
        <w:rPr>
          <w:sz w:val="18"/>
        </w:rPr>
      </w:pPr>
      <w:r>
        <w:rPr>
          <w:sz w:val="18"/>
        </w:rPr>
      </w:r>
    </w:p>
    <w:p>
      <w:pPr>
        <w:pStyle w:val="Normal"/>
        <w:ind w:start="450" w:end="0"/>
        <w:rPr>
          <w:sz w:val="18"/>
        </w:rPr>
      </w:pPr>
      <w:r>
        <w:rPr>
          <w:sz w:val="18"/>
        </w:rPr>
      </w:r>
    </w:p>
    <w:p>
      <w:pPr>
        <w:pStyle w:val="Normal"/>
        <w:jc w:val="both"/>
        <w:rPr>
          <w:b/>
        </w:rPr>
      </w:pPr>
      <w:r>
        <w:rPr>
          <w:b/>
        </w:rPr>
        <w:t xml:space="preserve">J.    Right of First Refusal  </w:t>
      </w:r>
      <w:r>
        <w:rPr/>
        <w:t>(p.230)</w:t>
      </w:r>
    </w:p>
    <w:p>
      <w:pPr>
        <w:pStyle w:val="Normal"/>
        <w:ind w:start="450" w:end="0"/>
        <w:rPr>
          <w:b/>
        </w:rPr>
      </w:pPr>
      <w:r>
        <w:rPr>
          <w:b/>
        </w:rPr>
      </w:r>
    </w:p>
    <w:p>
      <w:pPr>
        <w:pStyle w:val="Normal"/>
        <w:ind w:start="450" w:end="0"/>
        <w:rPr/>
      </w:pPr>
      <w:r>
        <w:rPr/>
        <w:t xml:space="preserve">In Order No. 637, the Commission retained the right of first refusal, but limited the applicability of ROFR in several respects: making ROFR applicable future only to maximum rate contracts for 12 or more consecutive months of service in the future; providing that the maximum rate when exercising ROFR may be higher than the historic maximum rate on fully-subscribed systems with incremental rates; and clarifying that ROFR may not be exercised for a geographic portion of the existing contract.    The rehearing order upholds this policy framework with one significant clarification. ROFR will apply to multi-year seasonal contracts at the maximum rate for services not offered by the pipeline for a full 12 months. </w:t>
      </w:r>
    </w:p>
    <w:p>
      <w:pPr>
        <w:pStyle w:val="Normal"/>
        <w:ind w:start="450" w:end="0"/>
        <w:rPr/>
      </w:pPr>
      <w:r>
        <w:rPr/>
      </w:r>
    </w:p>
    <w:p>
      <w:pPr>
        <w:pStyle w:val="Heading9"/>
        <w:ind w:hanging="0" w:start="450" w:end="0"/>
        <w:rPr/>
      </w:pPr>
      <w:r>
        <w:rPr>
          <w:sz w:val="24"/>
        </w:rPr>
        <w:t xml:space="preserve">ROFR Applies to Seasonal Service </w:t>
      </w:r>
      <w:r>
        <w:rPr>
          <w:b w:val="false"/>
          <w:sz w:val="24"/>
        </w:rPr>
        <w:t>(p.234)</w:t>
      </w:r>
    </w:p>
    <w:p>
      <w:pPr>
        <w:pStyle w:val="Normal"/>
        <w:ind w:start="450" w:end="0"/>
        <w:rPr/>
      </w:pPr>
      <w:r>
        <w:rPr/>
        <w:t xml:space="preserve">The Commission grants clarification that the ROFR will apply to multi-year seasonal contracts at the maximum rate for services </w:t>
      </w:r>
      <w:r>
        <w:rPr>
          <w:i/>
        </w:rPr>
        <w:t>not offered</w:t>
      </w:r>
      <w:r>
        <w:rPr/>
        <w:t xml:space="preserve"> by the pipeline for a full 12 months.  The rehearing order reasons that if a customer is paying the maximum rate under a multi-year contract for a service that is offered by the pipeline on a seasonal basis </w:t>
      </w:r>
      <w:r>
        <w:rPr>
          <w:i/>
        </w:rPr>
        <w:t>only</w:t>
      </w:r>
      <w:r>
        <w:rPr/>
        <w:t xml:space="preserve"> then it is the pipeline that has determined the duration of the service and the shipper may in fact be a captive customer. </w:t>
      </w:r>
    </w:p>
    <w:p>
      <w:pPr>
        <w:pStyle w:val="Normal"/>
        <w:rPr/>
      </w:pPr>
      <w:r>
        <w:rPr/>
      </w:r>
    </w:p>
    <w:p>
      <w:pPr>
        <w:pStyle w:val="Heading9"/>
        <w:ind w:hanging="0" w:start="450" w:end="0"/>
        <w:rPr>
          <w:sz w:val="24"/>
        </w:rPr>
      </w:pPr>
      <w:r>
        <w:rPr>
          <w:sz w:val="24"/>
        </w:rPr>
        <w:t xml:space="preserve">ROFR Does Not Apply to Discount or Negotiated Rate Agreements </w:t>
      </w:r>
      <w:r>
        <w:rPr>
          <w:b w:val="false"/>
          <w:sz w:val="24"/>
        </w:rPr>
        <w:t>(p.235)</w:t>
      </w:r>
    </w:p>
    <w:p>
      <w:pPr>
        <w:pStyle w:val="BodyTextIndent"/>
        <w:rPr/>
      </w:pPr>
      <w:r>
        <w:rPr/>
        <w:t xml:space="preserve">In Order No. 637, the Commission grandfathered existing discounted contracts and provided that the ROFR will apply to these contracts, but will not apply to future discounted rate contracts.  Several parties challenge this policy change.  In the rehearing order, the Commission replies that the limitation of the ROFR to maximum rate contracts leaves in place the basic protections afforded by the statute ---  that a shipper is guaranteed that it will pay no more than a just and reasonable rate for service, and if the shipper pays the maximum just and reasonable rate, it is guaranteed that it can retain that service at the end of its contract. </w:t>
      </w:r>
    </w:p>
    <w:p>
      <w:pPr>
        <w:pStyle w:val="Normal"/>
        <w:ind w:start="450" w:end="0"/>
        <w:rPr/>
      </w:pPr>
      <w:r>
        <w:rPr/>
      </w:r>
    </w:p>
    <w:p>
      <w:pPr>
        <w:pStyle w:val="BodyTextIndent"/>
        <w:rPr/>
      </w:pPr>
      <w:r>
        <w:rPr/>
        <w:t xml:space="preserve">Several parties ask for clarification that ROFR applies to negotiated rate contracts that exceed the maximum rate.  The Commission disagrees, stating categorically that negotiated rate agreements are not eligible for ROFR.  A negotiated rate is not the equivalent of the maximum tariff rate for the service, regardless of whether the negotiated rate is higher or lower than the maximum tariff rate, and therefore the ROFR does not apply to these contracts.  </w:t>
      </w:r>
    </w:p>
    <w:p>
      <w:pPr>
        <w:pStyle w:val="Normal"/>
        <w:rPr/>
      </w:pPr>
      <w:r>
        <w:rPr/>
      </w:r>
    </w:p>
    <w:p>
      <w:pPr>
        <w:pStyle w:val="Heading3"/>
        <w:rPr/>
      </w:pPr>
      <w:r>
        <w:rPr/>
        <w:t xml:space="preserve">ROFR Pricing Policy </w:t>
      </w:r>
      <w:r>
        <w:rPr>
          <w:b w:val="false"/>
        </w:rPr>
        <w:t>(p.247)</w:t>
      </w:r>
    </w:p>
    <w:p>
      <w:pPr>
        <w:pStyle w:val="Normal"/>
        <w:ind w:start="450" w:end="0"/>
        <w:rPr/>
      </w:pPr>
      <w:r>
        <w:rPr/>
        <w:t>In Order No. 637 and in the Certificate Policy Statement, the Commission explained that the maximum rate that the existing shipper must meet in order to exercise its right of first refusal may be higher than its current rate on pipelines with incremental rates when the system is fully booked and there is at least one bid above the existing rate.  Several parties challenge this policy, in part on the grounds that it is inconsistent with the Certificate Policy Statement proclamation that existing shippers should not subsidize expansions. The rehearing order denies the challenges, but the reasoning is nevertheless useful in understanding the Commission’s current thinking on pricing policy.</w:t>
      </w:r>
    </w:p>
    <w:p>
      <w:pPr>
        <w:pStyle w:val="Normal"/>
        <w:ind w:start="450" w:end="0"/>
        <w:rPr/>
      </w:pPr>
      <w:r>
        <w:rPr/>
      </w:r>
    </w:p>
    <w:p>
      <w:pPr>
        <w:pStyle w:val="Normal"/>
        <w:ind w:start="450" w:end="0"/>
        <w:rPr/>
      </w:pPr>
      <w:r>
        <w:rPr/>
        <w:t xml:space="preserve">In the rehearing order, the Commission disagrees that asking existing shippers to exercise ROFR at a competing bid rate amounts to a subsidy.  The Commission reasons that existing shippers are part of the need for expansions (citing Southeastern Michigan Gas Co. v. FERC, 133 F.3d 34, 41 (D.C. Cir. 1998), "[b]ecause every shipper is economically marginal the costs of increased demand may equitably be attributed to user, regardless of when it first contracted with the pipeline").  A decision on the part of the existing customers not to release their capacity is in part a cause for the need to expand the capacity.   </w:t>
      </w:r>
    </w:p>
    <w:p>
      <w:pPr>
        <w:pStyle w:val="Normal"/>
        <w:ind w:start="450" w:end="0"/>
        <w:rPr/>
      </w:pPr>
      <w:r>
        <w:rPr/>
      </w:r>
    </w:p>
    <w:p>
      <w:pPr>
        <w:pStyle w:val="Normal"/>
        <w:ind w:start="450" w:end="0"/>
        <w:rPr/>
      </w:pPr>
      <w:r>
        <w:rPr/>
        <w:t xml:space="preserve">Some parties argue that implementing a “roll-up” policy will negate settlements.  For example, a New England shipper agreed to pay the incremental rate for a given period and gradually roll-in the costs of the facilities over time.  Now that the rates are largely rolled-in, New England argues that it will be denied the benefits of lower rates because it will have to match the highest bid rate.   The Commission responds that, in order to implement a higher maximum rate, the pipeline must have in place a mechanism that allocates costs between historic and incremental rates. In Order No. 637, the Commission gave pipelines with incremental pricing the option of proposing a “roll-up” implementation mechanism either in a full section 4 rate case or through the filing of pro forma tariff sheets.  The Commission also clarifies that the existing shipper need not match the highest incremental maximum rate, but may be required to bid up to the maximum incremental being paid on the system. </w:t>
      </w:r>
    </w:p>
    <w:p>
      <w:pPr>
        <w:pStyle w:val="Heading3"/>
        <w:rPr/>
      </w:pPr>
      <w:r>
        <w:rPr/>
      </w:r>
    </w:p>
    <w:p>
      <w:pPr>
        <w:pStyle w:val="Heading3"/>
        <w:rPr/>
      </w:pPr>
      <w:r>
        <w:rPr/>
        <w:t xml:space="preserve">ROFR Cannot Be Exercised for Geographic Portions of the System </w:t>
      </w:r>
      <w:r>
        <w:rPr>
          <w:b w:val="false"/>
        </w:rPr>
        <w:t>(p.268)</w:t>
      </w:r>
    </w:p>
    <w:p>
      <w:pPr>
        <w:pStyle w:val="Normal"/>
        <w:ind w:start="450" w:end="0"/>
        <w:rPr/>
      </w:pPr>
      <w:r>
        <w:rPr/>
        <w:t>In Order No. 637, the Commission reasoned that ROFR is intended to protect</w:t>
      </w:r>
    </w:p>
    <w:p>
      <w:pPr>
        <w:pStyle w:val="Normal"/>
        <w:ind w:start="450" w:end="0"/>
        <w:rPr/>
      </w:pPr>
      <w:r>
        <w:rPr/>
        <w:t xml:space="preserve">captive customers in their historic use of capacity and is not intended to give existing shippers an advantage over other customers seeking new or different service from the pipeline.  When bidding for a geographical portion of its capacity, the existing customer must compete with other shippers on an equal basis, and not have an advantage through the ROFR.  If another bidder creates a greater net present value by bidding for a long-haul, then that bidder should receive the capacity. </w:t>
      </w:r>
    </w:p>
    <w:p>
      <w:pPr>
        <w:pStyle w:val="Footer"/>
        <w:tabs>
          <w:tab w:val="clear" w:pos="4320"/>
          <w:tab w:val="clear" w:pos="8640"/>
        </w:tabs>
        <w:rPr/>
      </w:pPr>
      <w:r>
        <w:rPr/>
      </w:r>
    </w:p>
    <w:p>
      <w:pPr>
        <w:pStyle w:val="Footer"/>
        <w:tabs>
          <w:tab w:val="clear" w:pos="4320"/>
          <w:tab w:val="clear" w:pos="8640"/>
        </w:tabs>
        <w:rPr/>
      </w:pPr>
      <w:r>
        <w:rPr/>
      </w:r>
    </w:p>
    <w:p>
      <w:pPr>
        <w:pStyle w:val="Heading2"/>
        <w:ind w:hanging="0" w:start="0"/>
        <w:rPr/>
      </w:pPr>
      <w:r>
        <w:rPr/>
        <w:t xml:space="preserve">K.    Negotiated Terms and Conditions   </w:t>
      </w:r>
      <w:r>
        <w:rPr>
          <w:b w:val="false"/>
        </w:rPr>
        <w:t>(p.283)</w:t>
      </w:r>
    </w:p>
    <w:p>
      <w:pPr>
        <w:pStyle w:val="Normal"/>
        <w:rPr>
          <w:b/>
        </w:rPr>
      </w:pPr>
      <w:r>
        <w:rPr>
          <w:b/>
        </w:rPr>
      </w:r>
    </w:p>
    <w:p>
      <w:pPr>
        <w:pStyle w:val="BodyText2"/>
        <w:ind w:start="450" w:end="0"/>
        <w:rPr/>
      </w:pPr>
      <w:r>
        <w:rPr/>
        <w:t>In the rehearing order, as with Order No. 637, the Commission determined not to move forward with pre-approved negotiated terms and conditions of service.  Development of a two-track regulatory model (recourse/negotiated) requires further study.  In response to a rehearing request, the Commission does provide some general guidance on the difference between negotiated terms and conditions and negotiated rates.  The Commission considers negotiated terms and conditions to be related to operational conditions of transportation service (including scheduling and penalties) while negotiated rates would include the price, the term of service, the receipt and delivery points, and the quantity.</w:t>
      </w:r>
    </w:p>
    <w:p>
      <w:pPr>
        <w:pStyle w:val="Normal"/>
        <w:rPr/>
      </w:pPr>
      <w:r>
        <w:rPr/>
      </w:r>
    </w:p>
    <w:p>
      <w:pPr>
        <w:pStyle w:val="Heading2"/>
        <w:numPr>
          <w:ilvl w:val="0"/>
          <w:numId w:val="9"/>
        </w:numPr>
        <w:rPr/>
      </w:pPr>
      <w:r>
        <w:rPr/>
        <w:t xml:space="preserve">Miscellaneous  </w:t>
      </w:r>
    </w:p>
    <w:p>
      <w:pPr>
        <w:pStyle w:val="Normal"/>
        <w:rPr/>
      </w:pPr>
      <w:r>
        <w:rPr/>
      </w:r>
    </w:p>
    <w:p>
      <w:pPr>
        <w:pStyle w:val="Heading3"/>
        <w:numPr>
          <w:ilvl w:val="0"/>
          <w:numId w:val="4"/>
        </w:numPr>
        <w:tabs>
          <w:tab w:val="left" w:pos="720" w:leader="none"/>
        </w:tabs>
        <w:ind w:hanging="360" w:start="720" w:end="0"/>
        <w:rPr>
          <w:b w:val="false"/>
        </w:rPr>
      </w:pPr>
      <w:r>
        <w:rPr/>
        <w:t xml:space="preserve">Bypass Reports Added to Consolidated Reporting Regulations  </w:t>
      </w:r>
      <w:r>
        <w:rPr>
          <w:b w:val="false"/>
        </w:rPr>
        <w:t>(p.284)</w:t>
      </w:r>
    </w:p>
    <w:p>
      <w:pPr>
        <w:pStyle w:val="Normal"/>
        <w:ind w:start="720" w:end="0"/>
        <w:rPr/>
      </w:pPr>
      <w:r>
        <w:rPr/>
        <w:t xml:space="preserve">In Order No. 637, the Commission consolidated reporting requirements in a new section its 284.13.   The rehearing order revises Section 284.13 to add the LDC bypass reports (284.106) which were inadvertently omitted in the consolidation. </w:t>
      </w:r>
    </w:p>
    <w:p>
      <w:pPr>
        <w:pStyle w:val="Normal"/>
        <w:ind w:start="720" w:end="0"/>
        <w:rPr/>
      </w:pPr>
      <w:r>
        <w:rPr/>
        <w:t xml:space="preserve">  </w:t>
      </w:r>
    </w:p>
    <w:p>
      <w:pPr>
        <w:pStyle w:val="Normal"/>
        <w:numPr>
          <w:ilvl w:val="0"/>
          <w:numId w:val="11"/>
        </w:numPr>
        <w:tabs>
          <w:tab w:val="left" w:pos="720" w:leader="none"/>
        </w:tabs>
        <w:ind w:hanging="360" w:start="720" w:end="0"/>
        <w:rPr/>
      </w:pPr>
      <w:r>
        <w:rPr>
          <w:b/>
        </w:rPr>
        <w:t xml:space="preserve">Filing of Pro Forma Tariff Sheets </w:t>
      </w:r>
      <w:r>
        <w:rPr/>
        <w:t>(p.285)</w:t>
      </w:r>
    </w:p>
    <w:p>
      <w:pPr>
        <w:pStyle w:val="Normal"/>
        <w:ind w:start="720" w:end="0"/>
        <w:rPr/>
      </w:pPr>
      <w:r>
        <w:rPr/>
        <w:t xml:space="preserve">Pipelines should make these filings as new RP dockets and should file the pro forma sheets in paper and electronic format.  To reduce the burden required to convert the pro forma tariff sheets to final sheets, the pro forma sheets should be filed as if they are proposed revisions of sheets in the existing tariff volume (with the words Pro Forma before the volume name, e.g., Fourth Revised Sheet No. 150, FERC Gas Tariff, Pro Forma Third Revised Volume No. 1).   </w:t>
      </w:r>
    </w:p>
    <w:p>
      <w:pPr>
        <w:pStyle w:val="Normal"/>
        <w:ind w:start="450" w:end="0"/>
        <w:rPr>
          <w:sz w:val="18"/>
        </w:rPr>
      </w:pPr>
      <w:r>
        <w:rPr>
          <w:sz w:val="18"/>
        </w:rPr>
      </w:r>
    </w:p>
    <w:sectPr>
      <w:headerReference w:type="default" r:id="rId3"/>
      <w:headerReference w:type="first" r:id="rId4"/>
      <w:footerReference w:type="default" r:id="rId5"/>
      <w:footerReference w:type="first" r:id="rId6"/>
      <w:type w:val="nextPage"/>
      <w:pgSz w:w="12240" w:h="15840"/>
      <w:pgMar w:left="1800" w:right="1800" w:gutter="0" w:header="720" w:top="99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Prepared By Enron Gas Pipeline Group</w:t>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7"/>
      <w:numFmt w:val="upperLetter"/>
      <w:lvlText w:val="%1."/>
      <w:lvlJc w:val="start"/>
      <w:pPr>
        <w:tabs>
          <w:tab w:val="num" w:pos="405"/>
        </w:tabs>
        <w:ind w:start="405" w:hanging="405"/>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2"/>
      <w:numFmt w:val="upperLetter"/>
      <w:lvlText w:val="%1."/>
      <w:lvlJc w:val="start"/>
      <w:pPr>
        <w:tabs>
          <w:tab w:val="num" w:pos="390"/>
        </w:tabs>
        <w:ind w:start="390" w:hanging="39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numFmt w:val="bullet"/>
      <w:lvlText w:val=""/>
      <w:lvlJc w:val="start"/>
      <w:pPr>
        <w:tabs>
          <w:tab w:val="num" w:pos="360"/>
        </w:tabs>
        <w:ind w:start="81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firstLine="450" w:start="0" w:end="0"/>
      <w:outlineLvl w:val="0"/>
    </w:pPr>
    <w:rPr>
      <w:b/>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ind w:hanging="0" w:start="450" w:end="0"/>
      <w:outlineLvl w:val="2"/>
    </w:pPr>
    <w:rPr>
      <w:b/>
    </w:rPr>
  </w:style>
  <w:style w:type="paragraph" w:styleId="Heading4">
    <w:name w:val="heading 4"/>
    <w:basedOn w:val="Normal"/>
    <w:next w:val="Normal"/>
    <w:qFormat/>
    <w:pPr>
      <w:keepNext w:val="true"/>
      <w:numPr>
        <w:ilvl w:val="3"/>
        <w:numId w:val="1"/>
      </w:numPr>
      <w:ind w:firstLine="360" w:start="0" w:end="0"/>
      <w:outlineLvl w:val="3"/>
    </w:pPr>
    <w:rPr>
      <w:b/>
    </w:rPr>
  </w:style>
  <w:style w:type="paragraph" w:styleId="Heading5">
    <w:name w:val="heading 5"/>
    <w:basedOn w:val="Normal"/>
    <w:next w:val="Normal"/>
    <w:qFormat/>
    <w:pPr>
      <w:keepNext w:val="true"/>
      <w:numPr>
        <w:ilvl w:val="4"/>
        <w:numId w:val="1"/>
      </w:numPr>
      <w:ind w:hanging="0" w:start="360" w:end="0"/>
      <w:outlineLvl w:val="4"/>
    </w:pPr>
    <w:rPr>
      <w:b/>
    </w:rPr>
  </w:style>
  <w:style w:type="paragraph" w:styleId="Heading6">
    <w:name w:val="heading 6"/>
    <w:basedOn w:val="Normal"/>
    <w:next w:val="Normal"/>
    <w:qFormat/>
    <w:pPr>
      <w:keepNext w:val="true"/>
      <w:numPr>
        <w:ilvl w:val="0"/>
        <w:numId w:val="5"/>
      </w:numPr>
      <w:outlineLvl w:val="5"/>
    </w:pPr>
    <w:rPr>
      <w:b/>
    </w:rPr>
  </w:style>
  <w:style w:type="paragraph" w:styleId="Heading7">
    <w:name w:val="heading 7"/>
    <w:basedOn w:val="Normal"/>
    <w:next w:val="Normal"/>
    <w:qFormat/>
    <w:pPr>
      <w:keepNext w:val="true"/>
      <w:numPr>
        <w:ilvl w:val="6"/>
        <w:numId w:val="1"/>
      </w:numPr>
      <w:ind w:firstLine="90" w:start="360" w:end="0"/>
      <w:outlineLvl w:val="6"/>
    </w:pPr>
    <w:rPr>
      <w:b/>
    </w:rPr>
  </w:style>
  <w:style w:type="paragraph" w:styleId="Heading8">
    <w:name w:val="heading 8"/>
    <w:basedOn w:val="Normal"/>
    <w:next w:val="Normal"/>
    <w:qFormat/>
    <w:pPr>
      <w:keepNext w:val="true"/>
      <w:numPr>
        <w:ilvl w:val="7"/>
        <w:numId w:val="1"/>
      </w:numPr>
      <w:ind w:firstLine="720" w:start="0" w:end="0"/>
      <w:outlineLvl w:val="7"/>
    </w:pPr>
    <w:rPr>
      <w:b/>
    </w:rPr>
  </w:style>
  <w:style w:type="paragraph" w:styleId="Heading9">
    <w:name w:val="heading 9"/>
    <w:basedOn w:val="Normal"/>
    <w:next w:val="Normal"/>
    <w:qFormat/>
    <w:pPr>
      <w:keepNext w:val="true"/>
      <w:numPr>
        <w:ilvl w:val="8"/>
        <w:numId w:val="1"/>
      </w:numPr>
      <w:outlineLvl w:val="8"/>
    </w:pPr>
    <w:rPr>
      <w:b/>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50" w:end="0"/>
    </w:pPr>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ind w:firstLine="450" w:start="0" w:end="0"/>
    </w:pPr>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2000-05-24T23:58:00Z</dcterms:created>
  <dc:creator>scorman</dc:creator>
  <dc:description/>
  <dc:language>en-CA</dc:language>
  <cp:lastModifiedBy>ETS</cp:lastModifiedBy>
  <cp:lastPrinted>2000-05-24T21:09:00Z</cp:lastPrinted>
  <dcterms:modified xsi:type="dcterms:W3CDTF">2000-05-25T00:08:00Z</dcterms:modified>
  <cp:revision>3</cp:revision>
  <dc:subject/>
  <dc:title>Regulation of Short-Term Natural Gas Transportation Services, and  Regulation of Interstate Natural Gas Transportation Services</dc:title>
</cp:coreProperties>
</file>