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023" w:type="dxa"/>
        <w:jc w:val="start"/>
        <w:tblInd w:w="0" w:type="dxa"/>
        <w:tblLayout w:type="fixed"/>
        <w:tblCellMar>
          <w:top w:w="0" w:type="dxa"/>
          <w:start w:w="108" w:type="dxa"/>
          <w:bottom w:w="0" w:type="dxa"/>
          <w:end w:w="108" w:type="dxa"/>
        </w:tblCellMar>
      </w:tblPr>
      <w:tblGrid>
        <w:gridCol w:w="1384"/>
        <w:gridCol w:w="2272"/>
        <w:gridCol w:w="3656"/>
        <w:gridCol w:w="26"/>
        <w:gridCol w:w="3685"/>
      </w:tblGrid>
      <w:tr>
        <w:trPr>
          <w:trHeight w:val="609" w:hRule="atLeast"/>
        </w:trPr>
        <w:tc>
          <w:tcPr>
            <w:tcW w:w="1384" w:type="dxa"/>
            <w:tcBorders>
              <w:top w:val="single" w:sz="12" w:space="0" w:color="000000"/>
              <w:start w:val="single" w:sz="12" w:space="0" w:color="000000"/>
            </w:tcBorders>
          </w:tcPr>
          <w:p>
            <w:pPr>
              <w:pStyle w:val="Normal"/>
              <w:tabs>
                <w:tab w:val="clear" w:pos="720"/>
                <w:tab w:val="left" w:pos="9450" w:leader="none"/>
                <w:tab w:val="left" w:pos="9540" w:leader="none"/>
              </w:tabs>
              <w:rPr>
                <w:rFonts w:ascii="Arial" w:hAnsi="Arial" w:cs="Arial"/>
                <w:sz w:val="22"/>
              </w:rPr>
            </w:pPr>
            <w:r>
              <w:rPr>
                <w:rFonts w:cs="Arial" w:ascii="Arial" w:hAnsi="Arial"/>
              </w:rPr>
              <w:drawing>
                <wp:inline distT="0" distB="0" distL="0" distR="0">
                  <wp:extent cx="381635" cy="3924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16" r="-16" b="-16"/>
                          <a:stretch>
                            <a:fillRect/>
                          </a:stretch>
                        </pic:blipFill>
                        <pic:spPr bwMode="auto">
                          <a:xfrm>
                            <a:off x="0" y="0"/>
                            <a:ext cx="381635" cy="392430"/>
                          </a:xfrm>
                          <a:prstGeom prst="rect">
                            <a:avLst/>
                          </a:prstGeom>
                          <a:noFill/>
                        </pic:spPr>
                      </pic:pic>
                    </a:graphicData>
                  </a:graphic>
                </wp:inline>
              </w:drawing>
            </w:r>
          </w:p>
        </w:tc>
        <w:tc>
          <w:tcPr>
            <w:tcW w:w="5954" w:type="dxa"/>
            <w:gridSpan w:val="3"/>
            <w:tcBorders>
              <w:top w:val="single" w:sz="12" w:space="0" w:color="000000"/>
            </w:tcBorders>
          </w:tcPr>
          <w:p>
            <w:pPr>
              <w:pStyle w:val="Heading1"/>
              <w:rPr>
                <w:sz w:val="34"/>
              </w:rPr>
            </w:pPr>
            <w:r>
              <w:rPr>
                <w:sz w:val="34"/>
              </w:rPr>
              <w:t>LME Options – INTERNAL USE</w:t>
            </w:r>
          </w:p>
        </w:tc>
        <w:tc>
          <w:tcPr>
            <w:tcW w:w="3685" w:type="dxa"/>
            <w:tcBorders>
              <w:top w:val="single" w:sz="12" w:space="0" w:color="000000"/>
              <w:end w:val="single" w:sz="12" w:space="0" w:color="000000"/>
            </w:tcBorders>
          </w:tcPr>
          <w:p>
            <w:pPr>
              <w:pStyle w:val="Normal"/>
              <w:tabs>
                <w:tab w:val="clear" w:pos="720"/>
                <w:tab w:val="left" w:pos="9450" w:leader="none"/>
                <w:tab w:val="left" w:pos="9540" w:leader="none"/>
              </w:tabs>
              <w:jc w:val="end"/>
              <w:rPr>
                <w:rFonts w:ascii="Arial" w:hAnsi="Arial" w:cs="Arial"/>
                <w:sz w:val="36"/>
              </w:rPr>
            </w:pPr>
            <w:r>
              <w:rPr>
                <w:rFonts w:cs="Arial" w:ascii="Arial" w:hAnsi="Arial"/>
                <w:color w:val="FF0000"/>
                <w:sz w:val="36"/>
              </w:rPr>
              <w:t>Fri 26</w:t>
            </w:r>
            <w:r>
              <w:rPr>
                <w:rFonts w:cs="Arial" w:ascii="Arial" w:hAnsi="Arial"/>
                <w:color w:val="FF0000"/>
                <w:sz w:val="36"/>
                <w:vertAlign w:val="superscript"/>
              </w:rPr>
              <w:t>th</w:t>
            </w:r>
            <w:r>
              <w:rPr>
                <w:rFonts w:cs="Arial" w:ascii="Arial" w:hAnsi="Arial"/>
                <w:color w:val="FF0000"/>
                <w:sz w:val="36"/>
              </w:rPr>
              <w:t xml:space="preserve"> Jan 2001 </w:t>
            </w:r>
          </w:p>
        </w:tc>
      </w:tr>
      <w:tr>
        <w:trPr/>
        <w:tc>
          <w:tcPr>
            <w:tcW w:w="3656" w:type="dxa"/>
            <w:gridSpan w:val="2"/>
            <w:tcBorders>
              <w:top w:val="single" w:sz="12" w:space="0" w:color="000000"/>
              <w:start w:val="single" w:sz="12" w:space="0" w:color="000000"/>
            </w:tcBorders>
          </w:tcPr>
          <w:p>
            <w:pPr>
              <w:pStyle w:val="Heading4"/>
              <w:ind w:hanging="0" w:start="0"/>
              <w:rPr/>
            </w:pPr>
            <w:r>
              <w:rPr/>
              <w:t>Enron Metals Options</w:t>
            </w:r>
          </w:p>
          <w:p>
            <w:pPr>
              <w:pStyle w:val="Normal"/>
              <w:jc w:val="center"/>
              <w:rPr/>
            </w:pPr>
            <w:r>
              <w:rPr/>
            </w:r>
          </w:p>
        </w:tc>
        <w:tc>
          <w:tcPr>
            <w:tcW w:w="3656" w:type="dxa"/>
            <w:tcBorders>
              <w:top w:val="single" w:sz="12" w:space="0" w:color="000000"/>
            </w:tcBorders>
          </w:tcPr>
          <w:p>
            <w:pPr>
              <w:pStyle w:val="Normal"/>
              <w:jc w:val="center"/>
              <w:rPr>
                <w:rFonts w:ascii="Arial" w:hAnsi="Arial" w:cs="Arial"/>
                <w:b/>
              </w:rPr>
            </w:pPr>
            <w:r>
              <w:rPr>
                <w:rFonts w:cs="Arial" w:ascii="Arial" w:hAnsi="Arial"/>
                <w:b/>
              </w:rPr>
              <w:t>Jimmy Gordon, Russell Plackett</w:t>
            </w:r>
          </w:p>
          <w:p>
            <w:pPr>
              <w:pStyle w:val="Normal"/>
              <w:jc w:val="center"/>
              <w:rPr>
                <w:rFonts w:ascii="Arial" w:hAnsi="Arial" w:cs="Arial"/>
                <w:b/>
              </w:rPr>
            </w:pPr>
            <w:r>
              <w:rPr>
                <w:rFonts w:cs="Arial" w:ascii="Arial" w:hAnsi="Arial"/>
                <w:b/>
              </w:rPr>
              <w:t>Mark Shaer</w:t>
            </w:r>
          </w:p>
        </w:tc>
        <w:tc>
          <w:tcPr>
            <w:tcW w:w="3711" w:type="dxa"/>
            <w:gridSpan w:val="2"/>
            <w:tcBorders>
              <w:top w:val="single" w:sz="12" w:space="0" w:color="000000"/>
              <w:end w:val="single" w:sz="12" w:space="0" w:color="000000"/>
            </w:tcBorders>
          </w:tcPr>
          <w:p>
            <w:pPr>
              <w:pStyle w:val="Normal"/>
              <w:jc w:val="center"/>
              <w:rPr>
                <w:rFonts w:ascii="Arial" w:hAnsi="Arial" w:cs="Arial"/>
                <w:b/>
              </w:rPr>
            </w:pPr>
            <w:r>
              <w:rPr>
                <w:rFonts w:cs="Arial" w:ascii="Arial" w:hAnsi="Arial"/>
                <w:b/>
              </w:rPr>
              <w:t>Tel:  44 207 783 2133</w:t>
            </w:r>
          </w:p>
        </w:tc>
      </w:tr>
    </w:tbl>
    <w:p>
      <w:pPr>
        <w:sectPr>
          <w:type w:val="nextPage"/>
          <w:pgSz w:w="11906" w:h="16838"/>
          <w:pgMar w:left="576" w:right="576" w:gutter="0" w:header="0" w:top="360" w:footer="0" w:bottom="302"/>
          <w:pgNumType w:fmt="decimal"/>
          <w:formProt w:val="false"/>
          <w:textDirection w:val="lrTb"/>
          <w:docGrid w:type="default" w:linePitch="360" w:charSpace="0"/>
        </w:sectPr>
      </w:pPr>
    </w:p>
    <w:tbl>
      <w:tblPr>
        <w:tblW w:w="11023" w:type="dxa"/>
        <w:jc w:val="start"/>
        <w:tblInd w:w="0" w:type="dxa"/>
        <w:tblLayout w:type="fixed"/>
        <w:tblCellMar>
          <w:top w:w="0" w:type="dxa"/>
          <w:start w:w="108" w:type="dxa"/>
          <w:bottom w:w="0" w:type="dxa"/>
          <w:end w:w="108" w:type="dxa"/>
        </w:tblCellMar>
      </w:tblPr>
      <w:tblGrid>
        <w:gridCol w:w="5485"/>
        <w:gridCol w:w="5538"/>
      </w:tblGrid>
      <w:tr>
        <w:trPr/>
        <w:tc>
          <w:tcPr>
            <w:tcW w:w="5485"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color w:val="000000"/>
                <w:u w:val="single"/>
              </w:rPr>
            </w:pPr>
            <w:r>
              <w:rPr>
                <w:rFonts w:cs="Arial" w:ascii="Arial" w:hAnsi="Arial"/>
                <w:b/>
                <w:color w:val="000000"/>
                <w:u w:val="single"/>
              </w:rPr>
              <w:t xml:space="preserve">Option Vols </w:t>
            </w:r>
            <w:r>
              <w:rPr>
                <w:rFonts w:cs="Arial" w:ascii="Arial" w:hAnsi="Arial"/>
                <w:b/>
                <w:color w:val="000000"/>
                <w:sz w:val="16"/>
                <w:u w:val="single"/>
              </w:rPr>
              <w:t>(last 4 days valuation,</w:t>
            </w:r>
            <w:r>
              <w:rPr>
                <w:rFonts w:cs="Arial" w:ascii="Arial" w:hAnsi="Arial"/>
                <w:b/>
                <w:color w:val="000000"/>
                <w:u w:val="single"/>
              </w:rPr>
              <w:t xml:space="preserve"> </w:t>
            </w:r>
            <w:r>
              <w:rPr>
                <w:rFonts w:cs="Arial" w:ascii="Arial" w:hAnsi="Arial"/>
                <w:b/>
                <w:color w:val="000000"/>
                <w:sz w:val="16"/>
                <w:u w:val="single"/>
              </w:rPr>
              <w:t>2 daily change</w:t>
            </w:r>
          </w:p>
        </w:tc>
        <w:tc>
          <w:tcPr>
            <w:tcW w:w="5538" w:type="dxa"/>
            <w:tcBorders>
              <w:top w:val="single" w:sz="12" w:space="0" w:color="000000"/>
              <w:start w:val="single" w:sz="6" w:space="0" w:color="000000"/>
              <w:bottom w:val="single" w:sz="6" w:space="0" w:color="000000"/>
              <w:end w:val="single" w:sz="12" w:space="0" w:color="000000"/>
            </w:tcBorders>
          </w:tcPr>
          <w:p>
            <w:pPr>
              <w:pStyle w:val="Heading2"/>
              <w:ind w:hanging="0" w:start="0"/>
              <w:rPr>
                <w:color w:val="000000"/>
                <w:u w:val="single"/>
              </w:rPr>
            </w:pPr>
            <w:r>
              <w:rPr>
                <w:color w:val="000000"/>
                <w:u w:val="single"/>
              </w:rPr>
              <w:t xml:space="preserve">Option Open Interest </w:t>
            </w:r>
            <w:r>
              <w:rPr>
                <w:color w:val="000000"/>
                <w:sz w:val="16"/>
                <w:u w:val="single"/>
              </w:rPr>
              <w:t>(calls red line, puts blue blocks)</w:t>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pPr>
            <w:r>
              <w:rPr>
                <w:rFonts w:cs="Arial" w:ascii="Arial" w:hAnsi="Arial"/>
                <w:color w:val="0000FF"/>
              </w:rPr>
              <w:t>Aluminium</w:t>
            </w:r>
            <w:r>
              <w:rPr>
                <w:rFonts w:cs="Arial" w:ascii="Arial" w:hAnsi="Arial"/>
                <w:color w:val="0000FF"/>
                <w:sz w:val="14"/>
              </w:rPr>
              <w:t>:  support $1590, resistance $1635, ma10 $1587, ma30 $1574</w:t>
            </w:r>
          </w:p>
          <w:p>
            <w:pPr>
              <w:pStyle w:val="Normal"/>
              <w:rPr>
                <w:rFonts w:ascii="Arial" w:hAnsi="Arial" w:cs="Arial"/>
                <w:sz w:val="18"/>
              </w:rPr>
            </w:pPr>
            <w:r>
              <w:rPr>
                <w:rFonts w:cs="Arial" w:ascii="Arial" w:hAnsi="Arial"/>
                <w:sz w:val="18"/>
              </w:rPr>
              <w:t>Vols trading at 22% for front month with upside well bid by the MMs. Market short vol and hurting.  Charts shows nearby bids.</w:t>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sz w:val="18"/>
              </w:rPr>
            </w:pPr>
            <w:r>
              <w:rPr>
                <w:rFonts w:cs="Arial" w:ascii="Arial" w:hAnsi="Arial"/>
                <w:sz w:val="18"/>
              </w:rPr>
              <w:t>Upside calls in demand on bullish price move. Apr $1650-$1750 calls bought ($45 and $20 prem) by influential player aggravating already short market.</w:t>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rPr>
            </w:pPr>
            <w:r>
              <w:rPr>
                <w:rFonts w:cs="Arial" w:ascii="Arial" w:hAnsi="Arial"/>
              </w:rPr>
              <w:drawing>
                <wp:inline distT="0" distB="0" distL="0" distR="0">
                  <wp:extent cx="3342640" cy="18008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0" t="-18" r="-10" b="-18"/>
                          <a:stretch>
                            <a:fillRect/>
                          </a:stretch>
                        </pic:blipFill>
                        <pic:spPr bwMode="auto">
                          <a:xfrm>
                            <a:off x="0" y="0"/>
                            <a:ext cx="3342640" cy="1800860"/>
                          </a:xfrm>
                          <a:prstGeom prst="rect">
                            <a:avLst/>
                          </a:prstGeom>
                          <a:noFill/>
                        </pic:spPr>
                      </pic:pic>
                    </a:graphicData>
                  </a:graphic>
                </wp:inline>
              </w:drawing>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drawing>
                <wp:inline distT="0" distB="0" distL="0" distR="0">
                  <wp:extent cx="3378200" cy="178943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8" t="-16" r="-8" b="-16"/>
                          <a:stretch>
                            <a:fillRect/>
                          </a:stretch>
                        </pic:blipFill>
                        <pic:spPr bwMode="auto">
                          <a:xfrm>
                            <a:off x="0" y="0"/>
                            <a:ext cx="3378200" cy="1789430"/>
                          </a:xfrm>
                          <a:prstGeom prst="rect">
                            <a:avLst/>
                          </a:prstGeom>
                          <a:noFill/>
                        </pic:spPr>
                      </pic:pic>
                    </a:graphicData>
                  </a:graphic>
                </wp:inline>
              </w:drawing>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pPr>
            <w:r>
              <w:rPr>
                <w:rFonts w:cs="Arial" w:ascii="Arial" w:hAnsi="Arial"/>
                <w:color w:val="0000FF"/>
              </w:rPr>
              <w:t xml:space="preserve">Copper: </w:t>
            </w:r>
            <w:r>
              <w:rPr>
                <w:rFonts w:cs="Arial" w:ascii="Arial" w:hAnsi="Arial"/>
                <w:color w:val="0000FF"/>
                <w:sz w:val="14"/>
              </w:rPr>
              <w:t>support $1780, resistance $1825, ma10 $1806, ma30 $1819</w:t>
            </w:r>
          </w:p>
          <w:p>
            <w:pPr>
              <w:pStyle w:val="Normal"/>
              <w:rPr>
                <w:rFonts w:ascii="Arial" w:hAnsi="Arial" w:cs="Arial"/>
              </w:rPr>
            </w:pPr>
            <w:r>
              <w:rPr>
                <w:rFonts w:cs="Arial" w:ascii="Arial" w:hAnsi="Arial"/>
                <w:sz w:val="18"/>
              </w:rPr>
              <w:t>Nearby vols steady at 18%, with downsides well bid by physical traders. Flat vol curve indicative of flat copper interest.</w:t>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sz w:val="18"/>
              </w:rPr>
            </w:pPr>
            <w:r>
              <w:rPr>
                <w:rFonts w:cs="Arial" w:ascii="Arial" w:hAnsi="Arial"/>
                <w:sz w:val="18"/>
              </w:rPr>
              <w:t>$1850 April calls bought by GSF for $40 but generally quiet day. Mkt must break range before any real option related activity seen.</w:t>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rPr>
            </w:pPr>
            <w:r>
              <w:rPr>
                <w:rFonts w:cs="Arial" w:ascii="Arial" w:hAnsi="Arial"/>
              </w:rPr>
              <w:drawing>
                <wp:inline distT="0" distB="0" distL="0" distR="0">
                  <wp:extent cx="3343910" cy="1656080"/>
                  <wp:effectExtent l="0" t="0" r="0" b="0"/>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9" t="-18" r="-9" b="-18"/>
                          <a:stretch>
                            <a:fillRect/>
                          </a:stretch>
                        </pic:blipFill>
                        <pic:spPr bwMode="auto">
                          <a:xfrm>
                            <a:off x="0" y="0"/>
                            <a:ext cx="3343910" cy="1656080"/>
                          </a:xfrm>
                          <a:prstGeom prst="rect">
                            <a:avLst/>
                          </a:prstGeom>
                          <a:noFill/>
                        </pic:spPr>
                      </pic:pic>
                    </a:graphicData>
                  </a:graphic>
                </wp:inline>
              </w:drawing>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drawing>
                <wp:inline distT="0" distB="0" distL="0" distR="0">
                  <wp:extent cx="3376930" cy="1805305"/>
                  <wp:effectExtent l="0" t="0" r="0" b="0"/>
                  <wp:docPr id="5"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title=""/>
                          <pic:cNvPicPr>
                            <a:picLocks noChangeAspect="1" noChangeArrowheads="1"/>
                          </pic:cNvPicPr>
                        </pic:nvPicPr>
                        <pic:blipFill>
                          <a:blip r:embed="rId6"/>
                          <a:srcRect l="-8" t="-15" r="-8" b="-15"/>
                          <a:stretch>
                            <a:fillRect/>
                          </a:stretch>
                        </pic:blipFill>
                        <pic:spPr bwMode="auto">
                          <a:xfrm>
                            <a:off x="0" y="0"/>
                            <a:ext cx="3376930" cy="1805305"/>
                          </a:xfrm>
                          <a:prstGeom prst="rect">
                            <a:avLst/>
                          </a:prstGeom>
                          <a:noFill/>
                        </pic:spPr>
                      </pic:pic>
                    </a:graphicData>
                  </a:graphic>
                </wp:inline>
              </w:drawing>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pPr>
            <w:r>
              <w:rPr>
                <w:rFonts w:cs="Arial" w:ascii="Arial" w:hAnsi="Arial"/>
                <w:color w:val="0000FF"/>
              </w:rPr>
              <w:t xml:space="preserve">Nickel: </w:t>
            </w:r>
            <w:r>
              <w:rPr>
                <w:rFonts w:cs="Arial" w:ascii="Arial" w:hAnsi="Arial"/>
                <w:color w:val="0000FF"/>
                <w:sz w:val="14"/>
              </w:rPr>
              <w:t>support $6700, resistance $7170, ma10 $6794, ma30 $6750</w:t>
            </w:r>
          </w:p>
          <w:p>
            <w:pPr>
              <w:pStyle w:val="Normal"/>
              <w:rPr>
                <w:rFonts w:ascii="Arial" w:hAnsi="Arial" w:cs="Arial"/>
              </w:rPr>
            </w:pPr>
            <w:r>
              <w:rPr>
                <w:rFonts w:cs="Arial" w:ascii="Arial" w:hAnsi="Arial"/>
                <w:sz w:val="18"/>
              </w:rPr>
              <w:t>Quiet day vols unchanged and still straddling 30%. Some selling Feb and March vol before weekend as MM minimise theta loss.</w:t>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Low OI levels highlight the lack of option related activity in this metal</w:t>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rPr>
            </w:pPr>
            <w:r>
              <w:rPr>
                <w:rFonts w:cs="Arial" w:ascii="Arial" w:hAnsi="Arial"/>
              </w:rPr>
              <w:drawing>
                <wp:inline distT="0" distB="0" distL="0" distR="0">
                  <wp:extent cx="3343910" cy="1731010"/>
                  <wp:effectExtent l="0" t="0" r="0" b="0"/>
                  <wp:docPr id="6"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title=""/>
                          <pic:cNvPicPr>
                            <a:picLocks noChangeAspect="1" noChangeArrowheads="1"/>
                          </pic:cNvPicPr>
                        </pic:nvPicPr>
                        <pic:blipFill>
                          <a:blip r:embed="rId7"/>
                          <a:srcRect l="-9" t="-18" r="-9" b="-18"/>
                          <a:stretch>
                            <a:fillRect/>
                          </a:stretch>
                        </pic:blipFill>
                        <pic:spPr bwMode="auto">
                          <a:xfrm>
                            <a:off x="0" y="0"/>
                            <a:ext cx="3343910" cy="1731010"/>
                          </a:xfrm>
                          <a:prstGeom prst="rect">
                            <a:avLst/>
                          </a:prstGeom>
                          <a:noFill/>
                        </pic:spPr>
                      </pic:pic>
                    </a:graphicData>
                  </a:graphic>
                </wp:inline>
              </w:drawing>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drawing>
                <wp:inline distT="0" distB="0" distL="0" distR="0">
                  <wp:extent cx="3380740" cy="1741170"/>
                  <wp:effectExtent l="0" t="0" r="0" b="0"/>
                  <wp:docPr id="7"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title=""/>
                          <pic:cNvPicPr>
                            <a:picLocks noChangeAspect="1" noChangeArrowheads="1"/>
                          </pic:cNvPicPr>
                        </pic:nvPicPr>
                        <pic:blipFill>
                          <a:blip r:embed="rId8"/>
                          <a:srcRect l="-9" t="-15" r="-9" b="-15"/>
                          <a:stretch>
                            <a:fillRect/>
                          </a:stretch>
                        </pic:blipFill>
                        <pic:spPr bwMode="auto">
                          <a:xfrm>
                            <a:off x="0" y="0"/>
                            <a:ext cx="3380740" cy="1741170"/>
                          </a:xfrm>
                          <a:prstGeom prst="rect">
                            <a:avLst/>
                          </a:prstGeom>
                          <a:noFill/>
                        </pic:spPr>
                      </pic:pic>
                    </a:graphicData>
                  </a:graphic>
                </wp:inline>
              </w:drawing>
            </w:r>
          </w:p>
        </w:tc>
      </w:tr>
      <w:tr>
        <w:trPr/>
        <w:tc>
          <w:tcPr>
            <w:tcW w:w="5485" w:type="dxa"/>
            <w:tcBorders>
              <w:top w:val="single" w:sz="6" w:space="0" w:color="000000"/>
              <w:start w:val="single" w:sz="12" w:space="0" w:color="000000"/>
              <w:bottom w:val="single" w:sz="6" w:space="0" w:color="000000"/>
              <w:end w:val="single" w:sz="6" w:space="0" w:color="000000"/>
            </w:tcBorders>
          </w:tcPr>
          <w:p>
            <w:pPr>
              <w:pStyle w:val="Normal"/>
              <w:rPr/>
            </w:pPr>
            <w:r>
              <w:rPr>
                <w:rFonts w:cs="Arial" w:ascii="Arial" w:hAnsi="Arial"/>
                <w:color w:val="0000FF"/>
              </w:rPr>
              <w:t xml:space="preserve">Zinc: </w:t>
            </w:r>
            <w:r>
              <w:rPr>
                <w:rFonts w:cs="Arial" w:ascii="Arial" w:hAnsi="Arial"/>
                <w:color w:val="0000FF"/>
                <w:sz w:val="14"/>
              </w:rPr>
              <w:t>support $1050, resistance $1065, ma10 $1054, ma30 $1054</w:t>
            </w:r>
          </w:p>
          <w:p>
            <w:pPr>
              <w:pStyle w:val="Normal"/>
              <w:rPr>
                <w:rFonts w:ascii="Arial" w:hAnsi="Arial" w:cs="Arial"/>
              </w:rPr>
            </w:pPr>
            <w:r>
              <w:rPr>
                <w:rFonts w:cs="Arial" w:ascii="Arial" w:hAnsi="Arial"/>
                <w:sz w:val="18"/>
              </w:rPr>
              <w:t>No change on vol strip.  Some light selling of nearbys ahead of the weekend. MM long vol and gamma trading is compressing the range.</w:t>
            </w:r>
          </w:p>
        </w:tc>
        <w:tc>
          <w:tcPr>
            <w:tcW w:w="5538"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sz w:val="18"/>
              </w:rPr>
            </w:pPr>
            <w:r>
              <w:rPr>
                <w:rFonts w:cs="Arial" w:ascii="Arial" w:hAnsi="Arial"/>
                <w:sz w:val="18"/>
              </w:rPr>
              <w:t>Apr and June $1050 calls sold for $30-$45 respectively by US banks to earn prem from inactive market. Chinese still sellers of $1000 and $1025 puts, but low open interest overall.</w:t>
            </w:r>
          </w:p>
        </w:tc>
      </w:tr>
      <w:tr>
        <w:trPr/>
        <w:tc>
          <w:tcPr>
            <w:tcW w:w="5485" w:type="dxa"/>
            <w:tcBorders>
              <w:top w:val="single" w:sz="6" w:space="0" w:color="000000"/>
              <w:start w:val="single" w:sz="12" w:space="0" w:color="000000"/>
              <w:bottom w:val="single" w:sz="12" w:space="0" w:color="000000"/>
              <w:end w:val="single" w:sz="6" w:space="0" w:color="000000"/>
            </w:tcBorders>
          </w:tcPr>
          <w:p>
            <w:pPr>
              <w:pStyle w:val="Normal"/>
              <w:rPr>
                <w:rFonts w:ascii="Arial" w:hAnsi="Arial" w:cs="Arial"/>
              </w:rPr>
            </w:pPr>
            <w:r>
              <w:rPr>
                <w:rFonts w:cs="Arial" w:ascii="Arial" w:hAnsi="Arial"/>
              </w:rPr>
              <w:drawing>
                <wp:inline distT="0" distB="0" distL="0" distR="0">
                  <wp:extent cx="3344545" cy="1769110"/>
                  <wp:effectExtent l="0" t="0" r="0" b="0"/>
                  <wp:docPr id="8"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title=""/>
                          <pic:cNvPicPr>
                            <a:picLocks noChangeAspect="1" noChangeArrowheads="1"/>
                          </pic:cNvPicPr>
                        </pic:nvPicPr>
                        <pic:blipFill>
                          <a:blip r:embed="rId9"/>
                          <a:srcRect l="-9" t="-18" r="-9" b="-18"/>
                          <a:stretch>
                            <a:fillRect/>
                          </a:stretch>
                        </pic:blipFill>
                        <pic:spPr bwMode="auto">
                          <a:xfrm>
                            <a:off x="0" y="0"/>
                            <a:ext cx="3344545" cy="1769110"/>
                          </a:xfrm>
                          <a:prstGeom prst="rect">
                            <a:avLst/>
                          </a:prstGeom>
                          <a:noFill/>
                        </pic:spPr>
                      </pic:pic>
                    </a:graphicData>
                  </a:graphic>
                </wp:inline>
              </w:drawing>
            </w:r>
          </w:p>
        </w:tc>
        <w:tc>
          <w:tcPr>
            <w:tcW w:w="5538" w:type="dxa"/>
            <w:tcBorders>
              <w:top w:val="single" w:sz="6" w:space="0" w:color="000000"/>
              <w:start w:val="single" w:sz="6" w:space="0" w:color="000000"/>
              <w:bottom w:val="single" w:sz="12" w:space="0" w:color="000000"/>
              <w:end w:val="single" w:sz="12" w:space="0" w:color="000000"/>
            </w:tcBorders>
          </w:tcPr>
          <w:p>
            <w:pPr>
              <w:pStyle w:val="Normal"/>
              <w:rPr>
                <w:rFonts w:ascii="Arial" w:hAnsi="Arial" w:cs="Arial"/>
              </w:rPr>
            </w:pPr>
            <w:r>
              <w:rPr>
                <w:rFonts w:cs="Arial" w:ascii="Arial" w:hAnsi="Arial"/>
              </w:rPr>
              <w:drawing>
                <wp:inline distT="0" distB="0" distL="0" distR="0">
                  <wp:extent cx="3378200" cy="1814195"/>
                  <wp:effectExtent l="0" t="0" r="0" b="0"/>
                  <wp:docPr id="9"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title=""/>
                          <pic:cNvPicPr>
                            <a:picLocks noChangeAspect="1" noChangeArrowheads="1"/>
                          </pic:cNvPicPr>
                        </pic:nvPicPr>
                        <pic:blipFill>
                          <a:blip r:embed="rId10"/>
                          <a:srcRect l="-9" t="-17" r="-9" b="-17"/>
                          <a:stretch>
                            <a:fillRect/>
                          </a:stretch>
                        </pic:blipFill>
                        <pic:spPr bwMode="auto">
                          <a:xfrm>
                            <a:off x="0" y="0"/>
                            <a:ext cx="3378200" cy="1814195"/>
                          </a:xfrm>
                          <a:prstGeom prst="rect">
                            <a:avLst/>
                          </a:prstGeom>
                          <a:noFill/>
                        </pic:spPr>
                      </pic:pic>
                    </a:graphicData>
                  </a:graphic>
                </wp:inline>
              </w:drawing>
            </w:r>
          </w:p>
        </w:tc>
      </w:tr>
    </w:tbl>
    <w:p>
      <w:pPr>
        <w:sectPr>
          <w:type w:val="continuous"/>
          <w:pgSz w:w="11906" w:h="16838"/>
          <w:pgMar w:left="576" w:right="576" w:gutter="0" w:header="0" w:top="360" w:footer="0" w:bottom="302"/>
          <w:formProt w:val="false"/>
          <w:textDirection w:val="lrTb"/>
          <w:docGrid w:type="default" w:linePitch="360" w:charSpace="0"/>
        </w:sectPr>
      </w:pPr>
    </w:p>
    <w:tbl>
      <w:tblPr>
        <w:tblW w:w="11023" w:type="dxa"/>
        <w:jc w:val="start"/>
        <w:tblInd w:w="0" w:type="dxa"/>
        <w:tblLayout w:type="fixed"/>
        <w:tblCellMar>
          <w:top w:w="0" w:type="dxa"/>
          <w:start w:w="108" w:type="dxa"/>
          <w:bottom w:w="0" w:type="dxa"/>
          <w:end w:w="108" w:type="dxa"/>
        </w:tblCellMar>
      </w:tblPr>
      <w:tblGrid>
        <w:gridCol w:w="2518"/>
        <w:gridCol w:w="2835"/>
        <w:gridCol w:w="2585"/>
        <w:gridCol w:w="3085"/>
      </w:tblGrid>
      <w:tr>
        <w:trPr/>
        <w:tc>
          <w:tcPr>
            <w:tcW w:w="2518" w:type="dxa"/>
            <w:tcBorders>
              <w:top w:val="single" w:sz="6" w:space="0" w:color="000000"/>
              <w:start w:val="single" w:sz="12" w:space="0" w:color="000000"/>
            </w:tcBorders>
          </w:tcPr>
          <w:p>
            <w:pPr>
              <w:pStyle w:val="Normal"/>
              <w:rPr>
                <w:rFonts w:ascii="Arial" w:hAnsi="Arial" w:cs="Arial"/>
                <w:color w:val="000000"/>
                <w:sz w:val="18"/>
              </w:rPr>
            </w:pPr>
            <w:r>
              <w:rPr>
                <w:rFonts w:cs="Arial" w:ascii="Arial" w:hAnsi="Arial"/>
                <w:color w:val="000000"/>
                <w:sz w:val="18"/>
              </w:rPr>
              <w:t>Rohan Ziegelaar (London)</w:t>
            </w:r>
          </w:p>
        </w:tc>
        <w:tc>
          <w:tcPr>
            <w:tcW w:w="2835" w:type="dxa"/>
            <w:tcBorders>
              <w:top w:val="single" w:sz="6" w:space="0" w:color="000000"/>
              <w:end w:val="single" w:sz="6" w:space="0" w:color="000000"/>
            </w:tcBorders>
          </w:tcPr>
          <w:p>
            <w:pPr>
              <w:pStyle w:val="Normal"/>
              <w:rPr>
                <w:rFonts w:ascii="Arial" w:hAnsi="Arial" w:cs="Arial"/>
                <w:color w:val="000000"/>
                <w:sz w:val="18"/>
              </w:rPr>
            </w:pPr>
            <w:r>
              <w:rPr>
                <w:rFonts w:cs="Arial" w:ascii="Arial" w:hAnsi="Arial"/>
                <w:color w:val="000000"/>
                <w:sz w:val="18"/>
              </w:rPr>
              <w:t>Direct Tel: 44(0)20 7783 2415</w:t>
            </w:r>
          </w:p>
        </w:tc>
        <w:tc>
          <w:tcPr>
            <w:tcW w:w="2585" w:type="dxa"/>
            <w:tcBorders>
              <w:top w:val="single" w:sz="6" w:space="0" w:color="000000"/>
              <w:start w:val="single" w:sz="6" w:space="0" w:color="000000"/>
              <w:end w:val="single" w:sz="6" w:space="0" w:color="000000"/>
            </w:tcBorders>
          </w:tcPr>
          <w:p>
            <w:pPr>
              <w:pStyle w:val="Normal"/>
              <w:rPr>
                <w:rFonts w:ascii="Arial" w:hAnsi="Arial" w:cs="Arial"/>
                <w:color w:val="000000"/>
                <w:sz w:val="18"/>
              </w:rPr>
            </w:pPr>
            <w:r>
              <w:rPr>
                <w:rFonts w:cs="Arial" w:ascii="Arial" w:hAnsi="Arial"/>
                <w:color w:val="000000"/>
                <w:sz w:val="18"/>
              </w:rPr>
              <w:t>Fax: +44 (0)20 7783 1419</w:t>
            </w:r>
          </w:p>
        </w:tc>
        <w:tc>
          <w:tcPr>
            <w:tcW w:w="3085" w:type="dxa"/>
            <w:tcBorders>
              <w:top w:val="single" w:sz="6" w:space="0" w:color="000000"/>
              <w:start w:val="single" w:sz="6" w:space="0" w:color="000000"/>
              <w:end w:val="single" w:sz="12" w:space="0" w:color="000000"/>
            </w:tcBorders>
          </w:tcPr>
          <w:p>
            <w:pPr>
              <w:pStyle w:val="Heading2"/>
              <w:ind w:hanging="0" w:start="0"/>
              <w:rPr>
                <w:b w:val="false"/>
                <w:color w:val="000000"/>
                <w:sz w:val="18"/>
              </w:rPr>
            </w:pPr>
            <w:r>
              <w:rPr>
                <w:b w:val="false"/>
                <w:color w:val="000000"/>
                <w:sz w:val="18"/>
              </w:rPr>
              <w:t>Rohan.Ziegelaar@enron.com</w:t>
            </w:r>
          </w:p>
        </w:tc>
      </w:tr>
      <w:tr>
        <w:trPr>
          <w:trHeight w:val="160" w:hRule="atLeast"/>
        </w:trPr>
        <w:tc>
          <w:tcPr>
            <w:tcW w:w="11023" w:type="dxa"/>
            <w:gridSpan w:val="4"/>
            <w:tcBorders>
              <w:top w:val="single" w:sz="12" w:space="0" w:color="000000"/>
              <w:start w:val="single" w:sz="12" w:space="0" w:color="000000"/>
              <w:bottom w:val="single" w:sz="12" w:space="0" w:color="000000"/>
              <w:end w:val="single" w:sz="12" w:space="0" w:color="000000"/>
            </w:tcBorders>
          </w:tcPr>
          <w:p>
            <w:pPr>
              <w:pStyle w:val="Normal"/>
              <w:spacing w:lineRule="exact" w:line="120"/>
              <w:jc w:val="both"/>
              <w:rPr>
                <w:rFonts w:ascii="Arial" w:hAnsi="Arial" w:cs="Arial"/>
                <w:sz w:val="14"/>
              </w:rPr>
            </w:pPr>
            <w:r>
              <w:rPr>
                <w:sz w:val="14"/>
              </w:rPr>
              <w:t>This material is provided to you for discussion purposes only and is not intended as an offer or solicitation for the purchase or sale of any financial instrument or security, nor does this material constitute investment or trading advice.  Enron Metals Limited makes no representation or warranty, express or implied, as to the truth, accuracy or completeness of this material and neither Enron Metals Limited or any of its Affiliates, nor any of Enron Metals Limited’s employees, officers or agents of its Affiliates shall be liable for any matter owing out of or in connection with this material of the use of it. Opinions expressed are the opinions of the author and do not necessarily represent the opinion of Enron Metals Limited or any of its affiliates. Enron Metals limited or its affiliates may hold positions or make markets in financial instruments identical or economically related to transactions discussed herein.</w:t>
            </w:r>
          </w:p>
        </w:tc>
      </w:tr>
    </w:tbl>
    <w:p>
      <w:pPr>
        <w:pStyle w:val="Normal"/>
        <w:rPr>
          <w:sz w:val="2"/>
        </w:rPr>
      </w:pPr>
      <w:r>
        <w:rPr>
          <w:sz w:val="2"/>
        </w:rPr>
      </w:r>
    </w:p>
    <w:p>
      <w:pPr>
        <w:pStyle w:val="Normal"/>
        <w:rPr>
          <w:sz w:val="2"/>
        </w:rPr>
      </w:pPr>
      <w:r>
        <w:rPr>
          <w:sz w:val="2"/>
        </w:rPr>
      </w:r>
    </w:p>
    <w:p>
      <w:pPr>
        <w:pStyle w:val="Normal"/>
        <w:rPr>
          <w:sz w:val="2"/>
        </w:rPr>
      </w:pPr>
      <w:r>
        <w:rPr>
          <w:sz w:val="2"/>
        </w:rPr>
      </w:r>
    </w:p>
    <w:p>
      <w:pPr>
        <w:pStyle w:val="Normal"/>
        <w:rPr>
          <w:sz w:val="2"/>
        </w:rPr>
      </w:pPr>
      <w:r>
        <w:rPr>
          <w:sz w:val="2"/>
        </w:rPr>
      </w:r>
    </w:p>
    <w:p>
      <w:pPr>
        <w:pStyle w:val="Normal"/>
        <w:rPr>
          <w:sz w:val="2"/>
        </w:rPr>
      </w:pPr>
      <w:r>
        <w:rPr>
          <w:sz w:val="2"/>
        </w:rPr>
      </w:r>
    </w:p>
    <w:sectPr>
      <w:type w:val="continuous"/>
      <w:pgSz w:w="11906" w:h="16838"/>
      <w:pgMar w:left="576" w:right="576" w:gutter="0" w:header="0" w:top="360" w:footer="0" w:bottom="30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tabs>
        <w:tab w:val="clear" w:pos="720"/>
        <w:tab w:val="left" w:pos="9450" w:leader="none"/>
        <w:tab w:val="left" w:pos="9540" w:leader="none"/>
      </w:tabs>
      <w:ind w:hanging="0" w:start="0" w:end="252"/>
      <w:jc w:val="end"/>
      <w:outlineLvl w:val="0"/>
    </w:pPr>
    <w:rPr>
      <w:rFonts w:ascii="Arial" w:hAnsi="Arial" w:cs="Arial"/>
      <w:b/>
      <w:sz w:val="40"/>
      <w:lang w:val="en-US"/>
    </w:rPr>
  </w:style>
  <w:style w:type="paragraph" w:styleId="Heading2">
    <w:name w:val="heading 2"/>
    <w:basedOn w:val="Normal"/>
    <w:next w:val="Normal"/>
    <w:qFormat/>
    <w:pPr>
      <w:keepNext w:val="true"/>
      <w:numPr>
        <w:ilvl w:val="1"/>
        <w:numId w:val="1"/>
      </w:numPr>
      <w:outlineLvl w:val="1"/>
    </w:pPr>
    <w:rPr>
      <w:rFonts w:ascii="Arial" w:hAnsi="Arial" w:cs="Arial"/>
      <w:b/>
    </w:rPr>
  </w:style>
  <w:style w:type="paragraph" w:styleId="Heading3">
    <w:name w:val="heading 3"/>
    <w:basedOn w:val="Normal"/>
    <w:next w:val="Normal"/>
    <w:qFormat/>
    <w:pPr>
      <w:keepNext w:val="true"/>
      <w:numPr>
        <w:ilvl w:val="2"/>
        <w:numId w:val="1"/>
      </w:numPr>
      <w:jc w:val="center"/>
      <w:outlineLvl w:val="2"/>
    </w:pPr>
    <w:rPr>
      <w:rFonts w:ascii="Arial" w:hAnsi="Arial" w:cs="Arial"/>
      <w:b/>
      <w:sz w:val="16"/>
    </w:rPr>
  </w:style>
  <w:style w:type="paragraph" w:styleId="Heading4">
    <w:name w:val="heading 4"/>
    <w:basedOn w:val="Normal"/>
    <w:next w:val="Normal"/>
    <w:qFormat/>
    <w:pPr>
      <w:keepNext w:val="true"/>
      <w:numPr>
        <w:ilvl w:val="3"/>
        <w:numId w:val="1"/>
      </w:numPr>
      <w:jc w:val="center"/>
      <w:outlineLvl w:val="3"/>
    </w:pPr>
    <w:rPr>
      <w:rFonts w:ascii="Arial" w:hAnsi="Arial" w:cs="Arial"/>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19"/>
    </w:rPr>
  </w:style>
  <w:style w:type="paragraph" w:styleId="BodyText3">
    <w:name w:val="Body Text 3"/>
    <w:basedOn w:val="Normal"/>
    <w:qFormat/>
    <w:pPr>
      <w:jc w:val="both"/>
    </w:pPr>
    <w:rPr>
      <w:rFonts w:ascii="Arial" w:hAnsi="Arial" w:cs="Arial"/>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2001-01-26T11:12:00Z</dcterms:created>
  <dc:creator>RZIEGELAAR</dc:creator>
  <dc:description/>
  <dc:language>en-CA</dc:language>
  <cp:lastModifiedBy>RZiegela</cp:lastModifiedBy>
  <cp:lastPrinted>2001-01-23T11:26:00Z</cp:lastPrinted>
  <dcterms:modified xsi:type="dcterms:W3CDTF">2001-01-26T11:36:00Z</dcterms:modified>
  <cp:revision>3</cp:revision>
  <dc:subject/>
  <dc:title> </dc:title>
</cp:coreProperties>
</file>