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Subtitle"/>
        <w:rPr>
          <w:i/>
          <w:i/>
        </w:rPr>
      </w:pPr>
      <w:r>
        <w:rPr>
          <w:i/>
        </w:rPr>
        <w:t>[date]</w:t>
      </w:r>
    </w:p>
    <w:p>
      <w:pPr>
        <w:pStyle w:val="Normal"/>
        <w:jc w:val="center"/>
        <w:rPr>
          <w:i/>
          <w:i/>
          <w:sz w:val="24"/>
        </w:rPr>
      </w:pPr>
      <w:r>
        <w:rPr>
          <w:i/>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 xml:space="preserve">Transwestern Pipeline Company ("Transwestern") submits for filing and acceptance an original and five (5) copies of the following tariff sheets as part of its F.E.R.C. Gas Tariff, Second Revised Volume No. 1 to become effective </w:t>
      </w:r>
      <w:r>
        <w:rPr>
          <w:i/>
          <w:sz w:val="24"/>
        </w:rPr>
        <w:t>[date]</w:t>
      </w:r>
      <w:r>
        <w:rPr>
          <w:sz w:val="24"/>
        </w:rPr>
        <w:t>:</w:t>
      </w:r>
    </w:p>
    <w:p>
      <w:pPr>
        <w:pStyle w:val="Normal"/>
        <w:jc w:val="center"/>
        <w:rPr>
          <w:sz w:val="24"/>
          <w:u w:val="single"/>
        </w:rPr>
      </w:pPr>
      <w:r>
        <w:rPr>
          <w:sz w:val="24"/>
          <w:u w:val="single"/>
        </w:rPr>
        <w:t>Second Revised Volume No. 1</w:t>
      </w:r>
    </w:p>
    <w:p>
      <w:pPr>
        <w:pStyle w:val="Normal"/>
        <w:jc w:val="center"/>
        <w:rPr>
          <w:b/>
          <w:i/>
          <w:i/>
          <w:sz w:val="24"/>
        </w:rPr>
      </w:pPr>
      <w:r>
        <w:rPr>
          <w:b/>
          <w:i/>
          <w:sz w:val="24"/>
        </w:rPr>
        <w:t>[list sheets]</w:t>
      </w:r>
    </w:p>
    <w:p>
      <w:pPr>
        <w:pStyle w:val="Normal"/>
        <w:rPr>
          <w:b/>
          <w:i/>
          <w:i/>
          <w:sz w:val="24"/>
        </w:rPr>
      </w:pPr>
      <w:r>
        <w:rPr>
          <w:b/>
          <w:i/>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The Transport Option Amendment, which is an amendment to a firm transportation agreement between Transwestern and a Shipper,</w:t>
      </w:r>
      <w:r>
        <w:rPr>
          <w:rStyle w:val="FootnoteCharacters"/>
          <w:rStyle w:val="FootnoteReference"/>
        </w:rPr>
        <w:footnoteReference w:id="2"/>
      </w:r>
      <w:r>
        <w:rPr/>
        <w:t xml:space="preserve"> may provide for the following types of options:  </w:t>
      </w:r>
    </w:p>
    <w:p>
      <w:pPr>
        <w:pStyle w:val="BodyText"/>
        <w:rPr/>
      </w:pPr>
      <w:r>
        <w:rPr/>
        <w:tab/>
        <w:t xml:space="preserve">1) Shipper call (gives a Shipper the right to firm transportation capacity on Transwestern in the future), </w:t>
      </w:r>
    </w:p>
    <w:p>
      <w:pPr>
        <w:pStyle w:val="BodyText"/>
        <w:rPr/>
      </w:pPr>
      <w:r>
        <w:rPr/>
      </w:r>
    </w:p>
    <w:p>
      <w:pPr>
        <w:pStyle w:val="BodyText"/>
        <w:rPr/>
      </w:pPr>
      <w:r>
        <w:rPr/>
        <w:tab/>
        <w:t>2) Transporter put (gives Transwestern the right to require a Shipper to take firm transportation capacity on Transwestern),</w:t>
      </w:r>
    </w:p>
    <w:p>
      <w:pPr>
        <w:pStyle w:val="Normal"/>
        <w:rPr>
          <w:sz w:val="24"/>
        </w:rPr>
      </w:pPr>
      <w:r>
        <w:rPr>
          <w:sz w:val="24"/>
        </w:rPr>
      </w:r>
    </w:p>
    <w:p>
      <w:pPr>
        <w:pStyle w:val="Normal"/>
        <w:rPr>
          <w:sz w:val="24"/>
        </w:rPr>
      </w:pPr>
      <w:r>
        <w:rPr>
          <w:sz w:val="24"/>
        </w:rPr>
        <w:tab/>
        <w:t xml:space="preserve">3)  Transporter call (gives Transwestern the right to recall some or all of a Shipper's firm transportation capacity), and </w:t>
      </w:r>
    </w:p>
    <w:p>
      <w:pPr>
        <w:pStyle w:val="Normal"/>
        <w:jc w:val="both"/>
        <w:rPr>
          <w:sz w:val="24"/>
        </w:rPr>
      </w:pPr>
      <w:r>
        <w:rPr>
          <w:sz w:val="24"/>
        </w:rPr>
      </w:r>
    </w:p>
    <w:p>
      <w:pPr>
        <w:pStyle w:val="Normal"/>
        <w:jc w:val="both"/>
        <w:rPr>
          <w:sz w:val="24"/>
        </w:rPr>
      </w:pPr>
      <w:r>
        <w:rPr>
          <w:sz w:val="24"/>
        </w:rPr>
        <w:tab/>
        <w:t>4) Shipper put (gives a Shipper the right to turn back some or all of its firm transportation capacity).</w:t>
      </w:r>
    </w:p>
    <w:p>
      <w:pPr>
        <w:pStyle w:val="Normal"/>
        <w:jc w:val="both"/>
        <w:rPr>
          <w:sz w:val="24"/>
        </w:rPr>
      </w:pPr>
      <w:r>
        <w:rPr>
          <w:sz w:val="24"/>
        </w:rPr>
      </w:r>
    </w:p>
    <w:p>
      <w:pPr>
        <w:pStyle w:val="Normal"/>
        <w:spacing w:lineRule="auto" w:line="360"/>
        <w:rPr/>
      </w:pPr>
      <w:r>
        <w:rPr/>
        <w:tab/>
      </w:r>
      <w:r>
        <w:rPr>
          <w:sz w:val="24"/>
        </w:rPr>
        <w:t>All options will be purchased or sold pursuant to a Transport Option Amendment that is part of a firm transportation service agreement.  The Transport Option Amendment specifies the option fee, underlying transportation rate, quantity, date of exercise, term of transportation service, receipt points and delivery points.  Rights to receipt and delivery points may be designated as primary, alternate or both.  All Shippers must meet the creditworthiness standards of Transwestern's tariff as of the time the agreement is executed and when the option is exercised.  When an option is exercised, the transportation agreement shall be amended to reflect the increase or decrease in the contract quantity, as appropriate.  A Shipper that does not currently have a firm transportation agreement may sell a Transporter put option to Transwestern or purchase a Shipper call option from Transwestern by entering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rPr>
      </w:pPr>
      <w:r>
        <w:rPr>
          <w:sz w:val="24"/>
        </w:rPr>
        <w:tab/>
        <w:t xml:space="preserve">Options shall be subject to the tariff General Terms and Conditions listed in the proposed tariff sheets.  Additionally, the tariff sheets specifically state that options may not be released or assigned except in connection with the release of capacity or the assignment of the underlying transport agreement in accordance with the applicable provisions of Transwestern's tariff.   </w:t>
      </w:r>
    </w:p>
    <w:p>
      <w:pPr>
        <w:pStyle w:val="Heading2"/>
        <w:ind w:hanging="0" w:start="0"/>
        <w:rPr/>
      </w:pPr>
      <w:r>
        <w:rPr/>
        <w:t>Reason for Filing</w:t>
      </w:r>
    </w:p>
    <w:p>
      <w:pPr>
        <w:pStyle w:val="Normal"/>
        <w:spacing w:lineRule="auto" w:line="360"/>
        <w:rPr>
          <w:i/>
          <w:i/>
          <w:sz w:val="24"/>
        </w:rPr>
      </w:pPr>
      <w:r>
        <w:rPr>
          <w:sz w:val="24"/>
        </w:rPr>
        <w:tab/>
        <w:t>Most of the types of options described in this filing involve contractual provisions that would be permissible under current Commission policy on discounted and negotiated rates.  For example, a Transporter call or a Shipper put is a transportation agreement giving one party the right to terminate the agreement as to all or part of the capacity.  The Commission recently approved similar contracts filed by Tennessee Gas Pipeline Company.</w:t>
      </w:r>
      <w:r>
        <w:rPr>
          <w:rStyle w:val="FootnoteCharacters"/>
          <w:rStyle w:val="FootnoteReference"/>
          <w:sz w:val="24"/>
        </w:rPr>
        <w:footnoteReference w:id="3"/>
      </w:r>
      <w:r>
        <w:rPr>
          <w:sz w:val="24"/>
        </w:rPr>
        <w:t xml:space="preserve">  A Transporter put, in which Transwestern would have the right to require a shipper to take firm capacity in the future, also involves agreement to a rate in exchange for provisions related to quantity and is also therefore like the contracts approved in </w:t>
      </w:r>
      <w:r>
        <w:rPr>
          <w:sz w:val="24"/>
          <w:u w:val="single"/>
        </w:rPr>
        <w:t>Tennessee</w:t>
      </w:r>
      <w:r>
        <w:rPr>
          <w:sz w:val="24"/>
        </w:rPr>
        <w:t>.  In this filing, Transwestern is making these types of contract provisions generally available to all Shippers in order to eliminate the need to separately file with the Commission contracts containing options.  Currently, Transwestern has only limited authority to enter into a contract analogous to a Shipper call.  For example, shippers on Transwestern that exercise a right of first refusal are guaranteed firm transportation capacity in the future at a certain rate.   Additionally, shippers may enter into agreements for firm capacity on expansions to be constructed by Transwestern in the future. By authorizing Transwestern to sell Shipper calls, the proposed tariff provisions will expand Transwestern's ability to sell shippers the right to obtain capacity in the future.</w:t>
      </w:r>
    </w:p>
    <w:p>
      <w:pPr>
        <w:pStyle w:val="BodyText3"/>
        <w:rPr>
          <w:u w:val="single"/>
        </w:rPr>
      </w:pPr>
      <w:r>
        <w:rPr>
          <w:u w:val="single"/>
        </w:rPr>
        <w:t>Benefits of Options</w:t>
      </w:r>
    </w:p>
    <w:p>
      <w:pPr>
        <w:pStyle w:val="Normal"/>
        <w:spacing w:lineRule="auto" w:line="360"/>
        <w:rPr/>
      </w:pPr>
      <w:r>
        <w:rPr>
          <w:sz w:val="24"/>
        </w:rPr>
        <w:tab/>
        <w:t>The tariff provisions proposed herein will enable Transwestern to meet growing demand for options for transportation capacity.  As the Commission has acknowledged, the pipeline industry must accommodate changes in the marketplace.</w:t>
      </w:r>
      <w:r>
        <w:rPr>
          <w:rStyle w:val="FootnoteCharacters"/>
          <w:rStyle w:val="FootnoteReference"/>
          <w:sz w:val="24"/>
        </w:rPr>
        <w:footnoteReference w:id="4"/>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By establishing rules governing options and by expanding the types of options available, Transwestern will provide shippers with more choices for planning their transportation needs.  </w:t>
      </w:r>
    </w:p>
    <w:p>
      <w:pPr>
        <w:pStyle w:val="Normal"/>
        <w:spacing w:lineRule="auto" w:line="360"/>
        <w:ind w:firstLine="720" w:end="0"/>
        <w:rPr>
          <w:sz w:val="24"/>
        </w:rPr>
      </w:pPr>
      <w:r>
        <w:rPr>
          <w:sz w:val="24"/>
        </w:rPr>
        <w:t xml:space="preserve">For example, for an option payment to Transwestern, a Shipper can secure the right to call on capacity in the future at a set price.  End-users, such as manufacturing plants that are planning new facilities or an expansion of existing facilities, could purchase a Shipper call option from Transwestern and hold it as security pending construction.  Additionally, in response to the burgeoning growth in construction of non-utility gas fired generation in Transwestern's Western U.S. market area, power plant developers could purchase a Shipper call option as security until specific development thresholds are realized.  In either of the above examples, market efficiencies are maximized: customers receive the security they require for specific business purposes without the attendant risk or carrying cost of an executed contract for firm transportation capacity.  Moreover, the certainty of firm transmission capacity is often a pivotal consideration in customers securing non-recourse financing at competitive rates. </w:t>
      </w:r>
    </w:p>
    <w:p>
      <w:pPr>
        <w:pStyle w:val="Normal"/>
        <w:spacing w:lineRule="auto" w:line="360"/>
        <w:ind w:firstLine="720" w:end="0"/>
        <w:rPr>
          <w:sz w:val="24"/>
        </w:rPr>
      </w:pPr>
      <w:r>
        <w:rPr>
          <w:sz w:val="24"/>
        </w:rPr>
        <w:t xml:space="preserve">Conversely, a Shipper could buy a put option from Transwestern that allows the Shipper to relinquish unneeded capacity.  An end-user anticipating a possible decline in demand for goods or services, or a possible consolidation of operations to another location, could purchase a Shipper put option allowing it to maintain the security of firm transportation with the flexibility of being able to turn capacity back to Transwestern should business conditions warrant. </w:t>
      </w:r>
    </w:p>
    <w:p>
      <w:pPr>
        <w:pStyle w:val="BodyTextIndent"/>
        <w:rPr/>
      </w:pPr>
      <w:r>
        <w:rPr/>
        <w:t>Other industry segments may benefit from the options program.  Producers looking to advance new drilling activities may purchase a Shipper call option giving them the guarantee of transportation availability from the affected production areas without the administrative and carrying costs of underlying capacity.  Conversely, producers holding equity in production areas with uncertain reservoir decline rates could purchase a Shipper put option.  This strategy offers the security of firm transportation in the near term without the burden of holding potentially unnecessary transportation capacity should decline rates accelerate.</w:t>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5"/>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mitigate some of the adverse financial impacts of the turnback.</w:t>
      </w:r>
    </w:p>
    <w:p>
      <w:pPr>
        <w:pStyle w:val="BodyText3"/>
        <w:rPr>
          <w:u w:val="single"/>
        </w:rPr>
      </w:pPr>
      <w:r>
        <w:rPr>
          <w:u w:val="single"/>
        </w:rPr>
        <w:t>Pricing</w:t>
      </w:r>
    </w:p>
    <w:p>
      <w:pPr>
        <w:pStyle w:val="BodyText"/>
        <w:spacing w:lineRule="auto" w:line="360"/>
        <w:rPr/>
      </w:pPr>
      <w:r>
        <w:rPr/>
        <w:tab/>
        <w:t>Interstate pipelines, including Transwestern, already sell built-in optionality when they enter into firm transportation agreements in which the service does not begin until months after the execution of the contract.  For example, under the right of first refusal provisions of Rate Schedule FTS-1 of its tariff, a shipper may enter into a contract with Transwestern for transportation service to commence as much as one year after the execution of the contract.  By locking in its transportation rate in advance, the shipper is effectively buying up to 12 months of optionality on firm transportation pricing.  Since the assurance of being able to obtain transportation service at a predetermined rate has some value to the shipper, the price of such optionality is, presumably, built into the rate the shipper is willing to pay.  Similarly, when a pipeline holds an open season for an expansion of its facilities, shippers may contract for capacity well in advance of gas flow. Pipelines may also enter into transportation agreements that allow the shipper to terminate its contract early, reduce its contract quantity or turn back a certain amount of capacity.</w:t>
      </w:r>
      <w:r>
        <w:rPr>
          <w:rStyle w:val="FootnoteCharacters"/>
          <w:rStyle w:val="FootnoteReference"/>
        </w:rPr>
        <w:footnoteReference w:id="6"/>
      </w:r>
      <w:r>
        <w:rPr/>
        <w:t xml:space="preserve">  </w:t>
      </w:r>
    </w:p>
    <w:p>
      <w:pPr>
        <w:pStyle w:val="BodyText3"/>
        <w:jc w:val="start"/>
        <w:rPr/>
      </w:pPr>
      <w:r>
        <w:rPr/>
        <w:tab/>
        <w:t>With the transport options proposed herein, Transwestern is proposing to disaggregate optionality from the transportation rate in order to offer shippers greater flexibility in contracting for options.  Disaggregation allows Transwestern to specifically identify the option so that its impact and timing can be more effectively quantified and managed.  The option fee will be based upon the value that the shipper places on the option</w:t>
      </w:r>
      <w:r>
        <w:rPr>
          <w:rStyle w:val="FootnoteCharacters"/>
          <w:rStyle w:val="FootnoteReference"/>
        </w:rPr>
        <w:footnoteReference w:id="7"/>
      </w:r>
      <w:r>
        <w:rPr/>
        <w:t xml:space="preserve">, and will be considered part of the rate for the underlying transportation service.  For example, if a shipper pays $0.01/MMBtu for the option to purchase transportation at a rate of $0.27/MMBtu, the total rate would be $0.28/MMBtu, within Transwestern's minimum and maximum rates for firm service.  If a shipper pays $0.10/MMBtu for the option to purchase transportation at a rate of $0.27/MMBtu, the total rate would be $0.37/MMBtu, which is above the maximum tariff rate but still within Transwestern's authority to charge negotiated rates. </w:t>
      </w:r>
    </w:p>
    <w:p>
      <w:pPr>
        <w:pStyle w:val="Normal"/>
        <w:spacing w:lineRule="auto" w:line="360"/>
        <w:jc w:val="both"/>
        <w:rPr>
          <w:sz w:val="24"/>
        </w:rPr>
      </w:pPr>
      <w:r>
        <w:rPr>
          <w:sz w:val="24"/>
        </w:rPr>
        <w:tab/>
        <w:t>The following example illustrates how capacity options would work.  Assume that Transwestern elects to market a shipper call option for west flow capacity for the calendar year 2001.  To begin with, Transwestern would obtain quotations for the spread value</w:t>
      </w:r>
      <w:r>
        <w:rPr>
          <w:rStyle w:val="FootnoteCharacters"/>
          <w:rStyle w:val="FootnoteReference"/>
          <w:sz w:val="24"/>
        </w:rPr>
        <w:footnoteReference w:id="8"/>
      </w:r>
      <w:r>
        <w:rPr>
          <w:sz w:val="24"/>
        </w:rPr>
        <w:t xml:space="preserve"> for the path in question.  In this example, assume the quotations for the East of Thoreau to California Border path revealed an average spread of $0.25/MMBtu plus fuel.  Therefore, in this example, Transwestern would propose the following "at the money" transportation option</w:t>
      </w:r>
      <w:r>
        <w:rPr>
          <w:rStyle w:val="FootnoteCharacters"/>
          <w:rStyle w:val="FootnoteReference"/>
          <w:sz w:val="24"/>
        </w:rPr>
        <w:footnoteReference w:id="9"/>
      </w:r>
    </w:p>
    <w:p>
      <w:pPr>
        <w:pStyle w:val="Normal"/>
        <w:rPr>
          <w:sz w:val="24"/>
        </w:rPr>
      </w:pPr>
      <w:r>
        <w:rPr>
          <w:sz w:val="24"/>
        </w:rPr>
        <w:tab/>
        <w:t>Term:</w:t>
        <w:tab/>
        <w:tab/>
        <w:tab/>
        <w:t>Jan. 1, 2001 through Dec. 31, 2001</w:t>
      </w:r>
    </w:p>
    <w:p>
      <w:pPr>
        <w:pStyle w:val="Normal"/>
        <w:rPr>
          <w:sz w:val="24"/>
        </w:rPr>
      </w:pPr>
      <w:r>
        <w:rPr>
          <w:sz w:val="24"/>
        </w:rPr>
        <w:tab/>
        <w:t>Receipt Point:</w:t>
        <w:tab/>
        <w:tab/>
        <w:t>East of Thoreau</w:t>
      </w:r>
    </w:p>
    <w:p>
      <w:pPr>
        <w:pStyle w:val="Normal"/>
        <w:rPr>
          <w:sz w:val="24"/>
        </w:rPr>
      </w:pPr>
      <w:r>
        <w:rPr>
          <w:sz w:val="24"/>
        </w:rPr>
        <w:tab/>
        <w:t>Delivery Point:</w:t>
        <w:tab/>
        <w:t>California Border</w:t>
      </w:r>
    </w:p>
    <w:p>
      <w:pPr>
        <w:pStyle w:val="Normal"/>
        <w:rPr>
          <w:sz w:val="24"/>
        </w:rPr>
      </w:pPr>
      <w:r>
        <w:rPr>
          <w:sz w:val="24"/>
        </w:rPr>
        <w:tab/>
        <w:t>Volume:</w:t>
        <w:tab/>
        <w:tab/>
        <w:t>10,000 MMBtu/d</w:t>
      </w:r>
    </w:p>
    <w:p>
      <w:pPr>
        <w:pStyle w:val="Normal"/>
        <w:rPr>
          <w:sz w:val="24"/>
        </w:rPr>
      </w:pPr>
      <w:r>
        <w:rPr>
          <w:sz w:val="24"/>
        </w:rPr>
        <w:tab/>
        <w:t>Transport Rate:</w:t>
        <w:tab/>
        <w:t>$0.25/MMBtu</w:t>
      </w:r>
    </w:p>
    <w:p>
      <w:pPr>
        <w:pStyle w:val="Normal"/>
        <w:rPr>
          <w:sz w:val="24"/>
        </w:rPr>
      </w:pPr>
      <w:r>
        <w:rPr>
          <w:sz w:val="24"/>
        </w:rPr>
        <w:tab/>
        <w:t>Option Fee:</w:t>
        <w:tab/>
        <w:tab/>
        <w:t>to be determined</w:t>
      </w:r>
    </w:p>
    <w:p>
      <w:pPr>
        <w:pStyle w:val="Normal"/>
        <w:rPr>
          <w:sz w:val="24"/>
        </w:rPr>
      </w:pPr>
      <w:r>
        <w:rPr>
          <w:sz w:val="24"/>
        </w:rPr>
      </w:r>
    </w:p>
    <w:p>
      <w:pPr>
        <w:pStyle w:val="BodyText3"/>
        <w:jc w:val="start"/>
        <w:rPr/>
      </w:pPr>
      <w:r>
        <w:rPr/>
        <w:t xml:space="preserve">Assume that the competitive bids for the option result in Transwestern selling the Shipper call option for the equivalent of   $0.01/MMBtu.  The option fee and the transportation rate result in a total transportation rate of $0.26/MMBtu.  The parties may negotiate whether the option fee is to be paid:  (1) as a lump sum, (2) in equal monthly payments, or (3) an adjustment to the per MMBtu charge under an existing transportation contract with the Shipper. </w:t>
      </w:r>
    </w:p>
    <w:p>
      <w:pPr>
        <w:pStyle w:val="BodyText3"/>
        <w:rPr>
          <w:u w:val="single"/>
        </w:rPr>
      </w:pPr>
      <w:r>
        <w:rPr>
          <w:u w:val="single"/>
        </w:rPr>
        <w:t>Nondiscriminatory Availability of Options</w:t>
      </w:r>
    </w:p>
    <w:p>
      <w:pPr>
        <w:pStyle w:val="Normal"/>
        <w:spacing w:lineRule="auto" w:line="360"/>
        <w:rPr/>
      </w:pPr>
      <w:r>
        <w:rPr/>
        <w:tab/>
      </w:r>
      <w:r>
        <w:rPr>
          <w:sz w:val="24"/>
        </w:rPr>
        <w:t>Because transport options will be sold as a component of a firm transportation service agreement under Transwestern's tariff, they will be available to all Shippers on a nondiscriminatory basis.  The proposed tariff sheets contain special provisions regarding Shipper call options because, unlike the other types of options proposed herein, Shipper call options will guarantee Shippers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0"/>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1"/>
      </w:r>
      <w:r>
        <w:rPr>
          <w:sz w:val="24"/>
        </w:rPr>
        <w:t xml:space="preserve">  To address any such concerns with regard to options, Transwestern's proposal requires all Shipper call options to be posted on Transwestern's Internet site.  Postings will provide advance notice to shippers that Transwestern is taking bids for Shipper call options, and such postings shall include, as applicable: underlying transportation rate, option fee, applicable receipt and delivery points, term of option, term of transportation service, type of option, transportation volume, method for awarding options, and instructions for bidding.  Options will be awarded based upon the valuation method specified in the posting, and the winning bid will be posted at the end of the bidding process. </w:t>
      </w:r>
    </w:p>
    <w:p>
      <w:pPr>
        <w:pStyle w:val="BodyText"/>
        <w:spacing w:lineRule="auto" w:line="360"/>
        <w:rPr/>
      </w:pPr>
      <w:r>
        <w:rPr/>
        <w:tab/>
        <w:t xml:space="preserve">Since Shipper calls will be made available to all interested parties on Transwestern's internet site and because options will be sold in a bidding process to only those parties that place the highest value on the option, the relevant underlying capacity, or both, Transwestern's proposal effectively addresses Commission concerns about reserving capacity for shippers.  Moreover, the proposal will offer significant benefits to shippers as described in this filing and will meet growing demand for the ability to pay an option fee for the right to obtain capacity at a specific time in the future.  For these reasons, the Commission's general policy on reservation of capacity is not applicable here.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 or for capacity that will become available in the future.  Transwestern will implement a transportation book that identifies the available capacity and associated contracts, and all put and call options.  Shipper call options on Transwestern capacity create a short position, whereas Shipper put options create a long position.  In order to ensure that sufficient capacity will be available for the exercising of Shipper call options, Transwestern will institute a capacity and option position book that quantifies on a daily basis the available unsubscribed firm transportation capacity including the net position of all outstanding options written against underlying transportation capacity.  The options book will assess probability of execution risk associated with each of the options and the book will be marked daily to re-evaluate these probabilities.</w:t>
      </w:r>
      <w:r>
        <w:rPr>
          <w:rStyle w:val="FootnoteCharacters"/>
          <w:rStyle w:val="FootnoteReference"/>
        </w:rPr>
        <w:footnoteReference w:id="12"/>
      </w:r>
      <w:r>
        <w:rPr/>
        <w:t xml:space="preserve">  In no event shall the sale and subsequent management of Transwestern's options program affect the availability of firm transportation capacity for existing shippers.</w:t>
      </w:r>
    </w:p>
    <w:p>
      <w:pPr>
        <w:pStyle w:val="BodyText"/>
        <w:spacing w:lineRule="auto" w:line="360"/>
        <w:rPr/>
      </w:pPr>
      <w:r>
        <w:rPr/>
        <w:tab/>
        <w:t>Moreover, the proposed options will have no adverse effect on receipt and delivery point flexibility, nominations and scheduling, priority of service, operating conditions or curtailment under Transwestern's tariff.</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September 18,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p>
      <w:pPr>
        <w:pStyle w:val="Normal"/>
        <w:tabs>
          <w:tab w:val="clear" w:pos="720"/>
          <w:tab w:val="left" w:pos="3960" w:leader="none"/>
        </w:tabs>
        <w:rPr>
          <w:sz w:val="24"/>
        </w:rPr>
      </w:pPr>
      <w:r>
        <w:rPr>
          <w:sz w:val="24"/>
        </w:rPr>
      </w:r>
    </w:p>
    <w:p>
      <w:pPr>
        <w:pStyle w:val="BodyText"/>
        <w:tabs>
          <w:tab w:val="clear" w:pos="720"/>
          <w:tab w:val="left" w:pos="3960" w:leader="none"/>
        </w:tabs>
        <w:spacing w:lineRule="auto" w:line="360"/>
        <w:rPr>
          <w:rStyle w:val="FootnoteCharacters"/>
          <w:sz w:val="24"/>
        </w:rPr>
      </w:pPr>
      <w:r>
        <w:rPr>
          <w:sz w:val="24"/>
        </w:rPr>
      </w:r>
    </w:p>
    <w:p>
      <w:pPr>
        <w:pStyle w:val="Normal"/>
        <w:rPr>
          <w:rStyle w:val="FootnoteCharacters"/>
          <w:i/>
          <w:i/>
          <w:sz w:val="24"/>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agreements "merely reflect that the shipper is willing to pay a negotiated rate in order to have the ability to terminate or reduce the contract level."  89 FERC at 61,100.</w:t>
      </w:r>
    </w:p>
  </w:footnote>
  <w:footnote w:id="4">
    <w:p>
      <w:pPr>
        <w:pStyle w:val="FootnoteText"/>
        <w:rPr/>
      </w:pPr>
      <w:r>
        <w:rPr>
          <w:rStyle w:val="FootnoteCharacters"/>
        </w:rPr>
        <w:footnoteRef/>
      </w:r>
      <w:r>
        <w:rPr>
          <w:color w:val="000000"/>
        </w:rPr>
        <w:t xml:space="preserve"> </w:t>
      </w:r>
      <w:r>
        <w:rPr>
          <w:color w:val="000000"/>
          <w:u w:val="single"/>
        </w:rPr>
        <w:t>Regulation of Short Term Natural Gas Transportation Services, and Regulation of Interstate Natural Gas Transportation Services</w:t>
      </w:r>
      <w:r>
        <w:rPr>
          <w:color w:val="000000"/>
        </w:rPr>
        <w:t>, 90 FERC ¶ 61,109 (February 9, 2000) (Order No. 637) at p. _____.</w:t>
      </w:r>
    </w:p>
  </w:footnote>
  <w:footnote w:id="5">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6">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7">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as well as the Black-Scholes formula. </w:t>
      </w:r>
    </w:p>
  </w:footnote>
  <w:footnote w:id="8">
    <w:p>
      <w:pPr>
        <w:pStyle w:val="FootnoteText"/>
        <w:jc w:val="both"/>
        <w:rPr/>
      </w:pPr>
      <w:r>
        <w:rPr>
          <w:rStyle w:val="FootnoteCharacters"/>
        </w:rPr>
        <w:footnoteRef/>
      </w:r>
      <w:r>
        <w:rPr/>
        <w:t xml:space="preserve"> </w:t>
      </w:r>
      <w:r>
        <w:rPr/>
        <w:t>T</w:t>
      </w:r>
      <w:r>
        <w:rPr>
          <w:color w:val="000000"/>
        </w:rPr>
        <w:t>he "spread value" is the future price of natural gas at the receipt location (East of Thoreau) subtracted from the price of gas at the delivery location (California Border).  The result is the implied or embedded value for transportation along Transwestern's pipeline system.  Therefore, the spread value is a good proxy for what an "at the money" price should be for purposes of the option sale.</w:t>
      </w:r>
    </w:p>
  </w:footnote>
  <w:footnote w:id="9">
    <w:p>
      <w:pPr>
        <w:pStyle w:val="FootnoteText"/>
        <w:jc w:val="both"/>
        <w:rPr/>
      </w:pPr>
      <w:r>
        <w:rPr>
          <w:rStyle w:val="FootnoteCharacters"/>
        </w:rPr>
        <w:footnoteRef/>
      </w:r>
      <w:r>
        <w:rPr>
          <w:color w:val="000000"/>
        </w:rPr>
        <w:t xml:space="preserve"> </w:t>
      </w:r>
      <w:r>
        <w:rPr>
          <w:color w:val="000000"/>
        </w:rPr>
        <w:t>Transwestern proposes that the assessment of an "at the money" price doesn't necessarily commit Transwestern to offering an "at the money" option.  In fact, options for stocks or commodities are often purchased at "out of the money" strike prices.  The relationship is that the farther away the strike price is from the indicative price of the commodity (in the case of Transwestern options, the spread value of transportation), the less valuable the option is to the holder.  It also means that the probability of the option actually being exercised decreases.</w:t>
      </w:r>
    </w:p>
  </w:footnote>
  <w:footnote w:id="10">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1">
    <w:p>
      <w:pPr>
        <w:pStyle w:val="FootnoteText"/>
        <w:rPr/>
      </w:pPr>
      <w:r>
        <w:rPr>
          <w:rStyle w:val="FootnoteCharacters"/>
        </w:rPr>
        <w:footnoteRef/>
      </w:r>
      <w:r>
        <w:rPr/>
        <w:t xml:space="preserve"> </w:t>
      </w:r>
      <w:r>
        <w:rPr>
          <w:i/>
        </w:rPr>
        <w:t>[cite]</w:t>
      </w:r>
    </w:p>
  </w:footnote>
  <w:footnote w:id="12">
    <w:p>
      <w:pPr>
        <w:pStyle w:val="FootnoteText"/>
        <w:rPr/>
      </w:pPr>
      <w:r>
        <w:rPr>
          <w:rStyle w:val="FootnoteCharacters"/>
        </w:rPr>
        <w:footnoteRef/>
      </w:r>
      <w:r>
        <w:rPr/>
        <w:t xml:space="preserve"> </w:t>
      </w:r>
      <w:r>
        <w:rPr/>
        <w:t>For example, if a future spread value narrows, it may result in an increased likelihood that a Shipper call option will be exercised.  If these conditions create an unbalanced option position for Transwestern, it may require corrective action.  In order to re-establish is book position, in addition to other capacity and risk management tools it may choose to utilize, Transwestern could purchase one or more offsetting Transporter call options to restore its position.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p>
    <w:pPr>
      <w:pStyle w:val="Header"/>
      <w:jc w:val="center"/>
      <w:rPr>
        <w:b/>
        <w:sz w:val="24"/>
      </w:rPr>
    </w:pPr>
    <w:r>
      <w:rPr>
        <w:b/>
        <w:sz w:val="24"/>
      </w:rPr>
      <w:t>FOR DISCUSSION PURPOSES ONLY</w:t>
    </w:r>
  </w:p>
  <w:p>
    <w:pPr>
      <w:pStyle w:val="Header"/>
      <w:jc w:val="center"/>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p>
    <w:pPr>
      <w:pStyle w:val="Header"/>
      <w:jc w:val="center"/>
      <w:rPr>
        <w:b/>
        <w:sz w:val="24"/>
      </w:rPr>
    </w:pPr>
    <w:r>
      <w:rPr>
        <w:b/>
        <w:sz w:val="24"/>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BodyTextIndent">
    <w:name w:val="Body Text Indent"/>
    <w:basedOn w:val="Normal"/>
    <w:pPr>
      <w:spacing w:lineRule="auto" w:line="360"/>
      <w:ind w:firstLine="720"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2000-08-29T11:11:00Z</dcterms:created>
  <dc:creator>Susan Scott</dc:creator>
  <dc:description/>
  <dc:language>en-CA</dc:language>
  <cp:lastModifiedBy>Enron</cp:lastModifiedBy>
  <cp:lastPrinted>2000-08-24T16:58:00Z</cp:lastPrinted>
  <dcterms:modified xsi:type="dcterms:W3CDTF">2000-08-30T11:52:00Z</dcterms:modified>
  <cp:revision>4</cp:revision>
  <dc:subject/>
  <dc:title>DRAFT 6/14/00</dc:title>
</cp:coreProperties>
</file>