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8/1/00</w:t>
      </w:r>
    </w:p>
    <w:p>
      <w:pPr>
        <w:pStyle w:val="Normal"/>
        <w:jc w:val="center"/>
        <w:rPr>
          <w:sz w:val="24"/>
        </w:rPr>
      </w:pPr>
      <w:r>
        <w:rPr>
          <w:sz w:val="24"/>
        </w:rPr>
      </w:r>
    </w:p>
    <w:p>
      <w:pPr>
        <w:pStyle w:val="Subtitle"/>
        <w:rPr/>
      </w:pPr>
      <w:r>
        <w:rPr/>
        <w:t>[</w:t>
      </w:r>
      <w:r>
        <w:rPr>
          <w:i/>
        </w:rPr>
        <w:t>August 18, 2000</w:t>
      </w:r>
      <w:r>
        <w:rPr/>
        <w:t>]</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Transwestern Pipeline Company ("Transwestern") submits for filing and acceptance an original and five (5) copies of the following tariff sheets as part of its F.E.R.C. Gas Tariff, Second Revised Volume No. 1 to become effective [</w:t>
      </w:r>
      <w:r>
        <w:rPr>
          <w:i/>
          <w:sz w:val="24"/>
        </w:rPr>
        <w:t>September 18, 2000</w:t>
      </w:r>
      <w:r>
        <w:rPr>
          <w:sz w:val="24"/>
        </w:rPr>
        <w:t>]:</w:t>
      </w:r>
    </w:p>
    <w:p>
      <w:pPr>
        <w:pStyle w:val="Normal"/>
        <w:jc w:val="center"/>
        <w:rPr>
          <w:sz w:val="24"/>
          <w:u w:val="single"/>
        </w:rPr>
      </w:pPr>
      <w:r>
        <w:rPr>
          <w:sz w:val="24"/>
          <w:u w:val="single"/>
        </w:rPr>
        <w:t>Second Revised Volume No. 1</w:t>
      </w:r>
    </w:p>
    <w:p>
      <w:pPr>
        <w:pStyle w:val="Normal"/>
        <w:jc w:val="center"/>
        <w:rPr>
          <w:b/>
          <w:i/>
          <w:i/>
          <w:sz w:val="24"/>
        </w:rPr>
      </w:pPr>
      <w:r>
        <w:rPr>
          <w:b/>
          <w:i/>
          <w:sz w:val="24"/>
        </w:rPr>
        <w:t>[list sheets]</w:t>
      </w:r>
    </w:p>
    <w:p>
      <w:pPr>
        <w:pStyle w:val="Normal"/>
        <w:rPr>
          <w:b/>
          <w:i/>
          <w:i/>
          <w:sz w:val="24"/>
        </w:rPr>
      </w:pPr>
      <w:r>
        <w:rPr>
          <w:b/>
          <w:i/>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The Transport Option Agreement executed between Transwestern and any Counterparty</w:t>
      </w:r>
      <w:r>
        <w:rPr>
          <w:rStyle w:val="FootnoteCharacters"/>
          <w:rStyle w:val="FootnoteReference"/>
        </w:rPr>
        <w:footnoteReference w:id="2"/>
      </w:r>
      <w:r>
        <w:rPr/>
        <w:t xml:space="preserve"> may provide for the following types of options:  </w:t>
      </w:r>
    </w:p>
    <w:p>
      <w:pPr>
        <w:pStyle w:val="BodyText"/>
        <w:rPr/>
      </w:pPr>
      <w:r>
        <w:rPr/>
        <w:tab/>
        <w:t xml:space="preserve">1) Counterparty call (guarantees a Counterparty firm transportation capacity on Transwestern in the future), and </w:t>
      </w:r>
    </w:p>
    <w:p>
      <w:pPr>
        <w:pStyle w:val="BodyText"/>
        <w:rPr/>
      </w:pPr>
      <w:r>
        <w:rPr/>
      </w:r>
    </w:p>
    <w:p>
      <w:pPr>
        <w:pStyle w:val="BodyText"/>
        <w:rPr/>
      </w:pPr>
      <w:r>
        <w:rPr/>
        <w:tab/>
        <w:t>2) Transporter put (gives Transwestern the right to require a Counterparty to take firm transportation capacity on Transwestern).</w:t>
      </w:r>
    </w:p>
    <w:p>
      <w:pPr>
        <w:pStyle w:val="Normal"/>
        <w:rPr>
          <w:sz w:val="24"/>
        </w:rPr>
      </w:pPr>
      <w:r>
        <w:rPr>
          <w:sz w:val="24"/>
        </w:rPr>
      </w:r>
    </w:p>
    <w:p>
      <w:pPr>
        <w:pStyle w:val="BodyText"/>
        <w:spacing w:lineRule="auto" w:line="360"/>
        <w:rPr/>
      </w:pPr>
      <w:r>
        <w:rPr/>
        <w:tab/>
        <w:t xml:space="preserve">For a Counterparty that has an existing firm transportation agreement with Transwestern or executes a firm transportation agreement pursuant to Transwestern's FERC Gas Tariff concurrently with a Transport Option Agreement, a Transport Option Agreement may provide for the following types of options in addition to the foregoing types of options:  </w:t>
      </w:r>
    </w:p>
    <w:p>
      <w:pPr>
        <w:pStyle w:val="Normal"/>
        <w:rPr>
          <w:sz w:val="24"/>
        </w:rPr>
      </w:pPr>
      <w:r>
        <w:rPr>
          <w:sz w:val="24"/>
        </w:rPr>
        <w:tab/>
        <w:t xml:space="preserve">1)  Transporter call (gives Transwestern the right to recall some or all of a Counterparty's firm transportation capacity), and </w:t>
      </w:r>
    </w:p>
    <w:p>
      <w:pPr>
        <w:pStyle w:val="Normal"/>
        <w:jc w:val="both"/>
        <w:rPr>
          <w:sz w:val="24"/>
        </w:rPr>
      </w:pPr>
      <w:r>
        <w:rPr>
          <w:sz w:val="24"/>
        </w:rPr>
      </w:r>
    </w:p>
    <w:p>
      <w:pPr>
        <w:pStyle w:val="Normal"/>
        <w:jc w:val="both"/>
        <w:rPr>
          <w:sz w:val="24"/>
        </w:rPr>
      </w:pPr>
      <w:r>
        <w:rPr>
          <w:sz w:val="24"/>
        </w:rPr>
        <w:tab/>
        <w:t>2) Counterparty put (guarantees Counterparty the right to turn back some or all of its firm transportation capacity).</w:t>
      </w:r>
    </w:p>
    <w:p>
      <w:pPr>
        <w:pStyle w:val="Normal"/>
        <w:jc w:val="both"/>
        <w:rPr>
          <w:sz w:val="24"/>
        </w:rPr>
      </w:pPr>
      <w:r>
        <w:rPr>
          <w:sz w:val="24"/>
        </w:rPr>
      </w:r>
    </w:p>
    <w:p>
      <w:pPr>
        <w:pStyle w:val="Normal"/>
        <w:spacing w:lineRule="auto" w:line="360"/>
        <w:rPr/>
      </w:pPr>
      <w:r>
        <w:rPr/>
        <w:tab/>
      </w:r>
      <w:r>
        <w:rPr>
          <w:sz w:val="24"/>
        </w:rPr>
        <w:t xml:space="preserve">All options will be purchased or sold pursuant to a Transport Option Agreement.  If an option is purchased or sold in connection with new or existing firm transportation service on Transwestern, the Transport Option Agreement shall be an amendment to the firm transportation service agreement.  The Transport Option Agreement shall specify option fee, underlying transportation rate, quantity, term of option, term of transportation service, receipt points and delivery points.  Rights to receipt and delivery points may be designated as primary, alternate or both.  All Counterparties must meet the creditworthiness standards of Transwestern's tariff as of the time the Transport Option Agreement is executed and when the option is exercised.  When a Counterparty exercises a call option or when Transwestern exercises a put option with no underlying transportation agreement in place, the Counterparty and Transwestern must enter into the appropriate firm service agreement and will be subject to all of the relevant terms and conditions of Transwestern's tariff.  If a Counterparty exercises a call option or Transwestern exercises a put option for capacity that is subject to an existing or new transportation agreement, the Counterparty and Transwestern may either: (1) enter into a new firm service agreement for the increment of capacity covered by the option or (2) amend the existing transportation agreement to include the increment of option capacity.  When a Counterparty exercises a put option or Transwestern exercises a call option, the existing transportation agreement is terminated as to the capacity relinquished and the subject capacity becomes available for Transwestern to sell pursuant to its tariff. </w:t>
      </w:r>
    </w:p>
    <w:p>
      <w:pPr>
        <w:pStyle w:val="BodyText3"/>
        <w:rPr>
          <w:u w:val="single"/>
        </w:rPr>
      </w:pPr>
      <w:r>
        <w:rPr>
          <w:u w:val="single"/>
        </w:rPr>
        <w:t>Benefits of Options</w:t>
      </w:r>
    </w:p>
    <w:p>
      <w:pPr>
        <w:pStyle w:val="Normal"/>
        <w:spacing w:lineRule="auto" w:line="360"/>
        <w:rPr/>
      </w:pPr>
      <w:r>
        <w:rPr>
          <w:sz w:val="24"/>
        </w:rPr>
        <w:tab/>
        <w:t>The tariff provisions proposed herein will enable Transwestern to meet growing demand for options on transportation capacity.  As the Commission has acknowledged, the pipeline industry must accommodate changes in the marketplace.</w:t>
      </w:r>
      <w:r>
        <w:rPr>
          <w:rStyle w:val="FootnoteCharacters"/>
          <w:rStyle w:val="FootnoteReference"/>
          <w:sz w:val="24"/>
        </w:rPr>
        <w:footnoteReference w:id="3"/>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The availability of options on Transwestern will provide shippers with more choices with respect to planning transportation needs.  For example, for an option payment to Transwestern, a Counterparty can secure the right to call on capacity in the future at a set price.  End-users planning new facilities or an expansion of existing facilities could purchase a capacity call option from Transwestern and hold it as security pending the construction of their facilities without the attendant risk or carrying cost of an executed contract for the underlying transportation capacity.  The certainty of transmission capacity is often a pivotal consideration in securing non-recourse financing at competitive rates.  </w:t>
      </w:r>
      <w:r>
        <w:rPr>
          <w:i/>
          <w:sz w:val="24"/>
        </w:rPr>
        <w:t>[Expand/give examples – Jeff]</w:t>
      </w:r>
      <w:r>
        <w:rPr>
          <w:sz w:val="24"/>
        </w:rPr>
        <w:t xml:space="preserve">  Conversely, an end-user anticipating a decline in demand for goods or services, or a possible consolidation of operations to another location, could buy a put option from Transwestern that allows it to relinquish unneeded capacity.</w:t>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4"/>
      </w:r>
      <w:r>
        <w:rPr>
          <w:sz w:val="24"/>
        </w:rPr>
        <w:t xml:space="preserve">  Under the Global Settlement, Transwestern agreed to absorb a significant portion of the costs associated with Southern California Gas Company's turnback of approximately 450,000 Dth/day of capacity. Transwestern assumed more than 50 percent of the risk of recovery of such costs, and this percentage will increase to 100 percent in November 2001.  The ability to offer transportation options may help Transwestern to mitigate some of the costs of the turnback.</w:t>
      </w:r>
    </w:p>
    <w:p>
      <w:pPr>
        <w:pStyle w:val="BodyText3"/>
        <w:rPr>
          <w:u w:val="single"/>
        </w:rPr>
      </w:pPr>
      <w:r>
        <w:rPr>
          <w:u w:val="single"/>
        </w:rPr>
        <w:t>Pricing</w:t>
      </w:r>
    </w:p>
    <w:p>
      <w:pPr>
        <w:pStyle w:val="BodyText"/>
        <w:spacing w:lineRule="auto" w:line="360"/>
        <w:rPr/>
      </w:pPr>
      <w:r>
        <w:rPr/>
        <w:tab/>
        <w:t>Interstate pipelines, including Transwestern, already sell built-in optionality when they enter into firm transportation agreements in which the transportation rate will not go into effect until several months after the execution of the contract.  For example, under the right of first refusal provisions of Rate Schedule FTS-1 of its tariff, Transwestern may enter into a contract with a shipper for transportation service to commence as much as one year after the execution of the contract.  The shipper is effectively buying up to 12 months of optionality on firm transportation.  Since the assurance of being able to obtain transportation service at a predetermined rate has some value to the shipper, the price of such optionality is, presumably, built into the discounted rate the shipper is willing to pay.  Pipelines may also enter into transportation agreements that allow the shipper to terminate its contract early, reduce its contract quantity or turn back a certain amount of capacity in exchange for a negotiated rate.</w:t>
      </w:r>
      <w:r>
        <w:rPr>
          <w:rStyle w:val="FootnoteCharacters"/>
          <w:rStyle w:val="FootnoteReference"/>
        </w:rPr>
        <w:footnoteReference w:id="5"/>
      </w:r>
      <w:r>
        <w:rPr/>
        <w:t xml:space="preserve"> </w:t>
      </w:r>
    </w:p>
    <w:p>
      <w:pPr>
        <w:pStyle w:val="BodyText3"/>
        <w:jc w:val="start"/>
        <w:rPr/>
      </w:pPr>
      <w:r>
        <w:rPr/>
        <w:tab/>
        <w:t>With the Transport Option Agreement, Transwestern is proposing to disaggregate optionality from the transportation rate in order to offer shippers greater flexibility in contracting for options.  The option fee will based upon the value that the shipper places on the option</w:t>
      </w:r>
      <w:r>
        <w:rPr>
          <w:rStyle w:val="FootnoteCharacters"/>
          <w:rStyle w:val="FootnoteReference"/>
        </w:rPr>
        <w:footnoteReference w:id="6"/>
      </w:r>
      <w:r>
        <w:rPr/>
        <w:t xml:space="preserve">, and will be considered part of a negotiated rate for the underlying transportation service.  For example, if a shipper pays $0.01/MMBtu for the option to purchase transportation at a rate of $0.27/MMBtu, the total rate would be $0.28/MMBtu, within Transwestern's minimum and maximum rates for firm service.  If a shipper pays $0.10/MMBtu for the option to purchase transportation at a rate of $0.27/MMBtu, the total rate would be $0.37/MMBtu, the rate is above the maximum tariff rate but still within Transwestern's authority to charge negotiated rates. </w:t>
      </w:r>
    </w:p>
    <w:p>
      <w:pPr>
        <w:pStyle w:val="Normal"/>
        <w:spacing w:lineRule="auto" w:line="360"/>
        <w:jc w:val="both"/>
        <w:rPr/>
      </w:pPr>
      <w:r>
        <w:rPr>
          <w:sz w:val="24"/>
        </w:rPr>
        <w:tab/>
        <w:t>The following example illustrates how capacity options would work.  Assume that Transwestern elects to market a shipper call option for west flow capacity for the calendar year 2001.  To begin with, Transwestern would obtain indicative or notional quotations for the spread value</w:t>
      </w:r>
      <w:r>
        <w:rPr>
          <w:rStyle w:val="FootnoteCharacters"/>
          <w:rStyle w:val="FootnoteReference"/>
          <w:sz w:val="24"/>
        </w:rPr>
        <w:footnoteReference w:id="7"/>
      </w:r>
      <w:r>
        <w:rPr>
          <w:sz w:val="24"/>
        </w:rPr>
        <w:t xml:space="preserve"> for the path or routing in question.  In this example, assume the quotations for the East of Thoreau to California Border path revealed an average spread of $0.25/MMBtu plus fuel.  Therefore, in this example, Transwestern would propose the following "in the money" transportation option</w:t>
      </w:r>
      <w:r>
        <w:rPr>
          <w:rStyle w:val="FootnoteCharacters"/>
          <w:rStyle w:val="FootnoteReference"/>
          <w:sz w:val="24"/>
        </w:rPr>
        <w:footnoteReference w:id="8"/>
      </w:r>
      <w:r>
        <w:rPr>
          <w:sz w:val="24"/>
        </w:rPr>
        <w:t>:</w:t>
      </w:r>
    </w:p>
    <w:p>
      <w:pPr>
        <w:pStyle w:val="Normal"/>
        <w:rPr>
          <w:sz w:val="24"/>
        </w:rPr>
      </w:pPr>
      <w:r>
        <w:rPr>
          <w:sz w:val="24"/>
        </w:rPr>
      </w:r>
    </w:p>
    <w:p>
      <w:pPr>
        <w:pStyle w:val="Normal"/>
        <w:rPr>
          <w:sz w:val="24"/>
        </w:rPr>
      </w:pPr>
      <w:r>
        <w:rPr>
          <w:sz w:val="24"/>
        </w:rPr>
        <w:tab/>
        <w:t>Term:</w:t>
        <w:tab/>
        <w:tab/>
        <w:tab/>
        <w:t>Jan. 1, 2001 through Dec. 31, 2001</w:t>
      </w:r>
    </w:p>
    <w:p>
      <w:pPr>
        <w:pStyle w:val="Normal"/>
        <w:rPr>
          <w:sz w:val="24"/>
        </w:rPr>
      </w:pPr>
      <w:r>
        <w:rPr>
          <w:sz w:val="24"/>
        </w:rPr>
        <w:tab/>
        <w:t>Receipt Point:</w:t>
        <w:tab/>
        <w:tab/>
        <w:t>East of Thoreau</w:t>
      </w:r>
    </w:p>
    <w:p>
      <w:pPr>
        <w:pStyle w:val="Normal"/>
        <w:rPr>
          <w:sz w:val="24"/>
        </w:rPr>
      </w:pPr>
      <w:r>
        <w:rPr>
          <w:sz w:val="24"/>
        </w:rPr>
        <w:tab/>
        <w:t>Delivery Point:</w:t>
        <w:tab/>
        <w:t>California Border</w:t>
      </w:r>
    </w:p>
    <w:p>
      <w:pPr>
        <w:pStyle w:val="Normal"/>
        <w:rPr>
          <w:sz w:val="24"/>
        </w:rPr>
      </w:pPr>
      <w:r>
        <w:rPr>
          <w:sz w:val="24"/>
        </w:rPr>
        <w:tab/>
        <w:t>Volume:</w:t>
        <w:tab/>
        <w:tab/>
        <w:t>10,000 MMBtu/d</w:t>
      </w:r>
    </w:p>
    <w:p>
      <w:pPr>
        <w:pStyle w:val="Normal"/>
        <w:rPr>
          <w:sz w:val="24"/>
        </w:rPr>
      </w:pPr>
      <w:r>
        <w:rPr>
          <w:sz w:val="24"/>
        </w:rPr>
        <w:tab/>
        <w:t>Transport Rate:</w:t>
        <w:tab/>
        <w:t>$0.25/MMBtu</w:t>
      </w:r>
    </w:p>
    <w:p>
      <w:pPr>
        <w:pStyle w:val="Normal"/>
        <w:rPr>
          <w:sz w:val="24"/>
        </w:rPr>
      </w:pPr>
      <w:r>
        <w:rPr>
          <w:sz w:val="24"/>
        </w:rPr>
        <w:tab/>
        <w:t>Option Fee:</w:t>
        <w:tab/>
        <w:tab/>
        <w:t>to be determined</w:t>
      </w:r>
    </w:p>
    <w:p>
      <w:pPr>
        <w:pStyle w:val="Normal"/>
        <w:rPr>
          <w:sz w:val="24"/>
        </w:rPr>
      </w:pPr>
      <w:r>
        <w:rPr>
          <w:sz w:val="24"/>
        </w:rPr>
      </w:r>
    </w:p>
    <w:p>
      <w:pPr>
        <w:pStyle w:val="BodyText3"/>
        <w:jc w:val="start"/>
        <w:rPr/>
      </w:pPr>
      <w:r>
        <w:rPr/>
        <w:t xml:space="preserve">Assume that the competitive bids for the option result in Transwestern selling the shipper call option for $36,500, or $0.01/MMBtu.  The option fee and the transportation rate result in a total negotiated transportation rate of $0.26/MMBtu. Transwestern may assess or pay the option fee to a Counterparty as: (1) a lump-sum payment, (2) an equal monthly payment, or (3) an adjustment to the per MMBtu charge under an existing or new transportation contract with the Counterparty. </w:t>
      </w:r>
    </w:p>
    <w:p>
      <w:pPr>
        <w:pStyle w:val="BodyText3"/>
        <w:rPr/>
      </w:pPr>
      <w:r>
        <w:rPr/>
        <w:tab/>
        <w:t xml:space="preserve">Attached hereto as Appendix A is a worksheet showing estimated revenues for the first 12 months in which the tariff sheets are effective.  Additionally, attached hereto as Appendix B is the Affidavit of Mary Kay Miller explaining why the proposed option fees and allocation of cost are just and reasonable. </w:t>
      </w:r>
      <w:r>
        <w:rPr>
          <w:i/>
        </w:rPr>
        <w:t xml:space="preserve"> [do we really need if this is not a "new service" but rather just part of our negotiated rate authority]</w:t>
      </w:r>
    </w:p>
    <w:p>
      <w:pPr>
        <w:pStyle w:val="BodyText3"/>
        <w:rPr>
          <w:u w:val="single"/>
        </w:rPr>
      </w:pPr>
      <w:r>
        <w:rPr>
          <w:u w:val="single"/>
        </w:rPr>
        <w:t>Nondiscriminatory Availability of Options</w:t>
      </w:r>
    </w:p>
    <w:p>
      <w:pPr>
        <w:pStyle w:val="Normal"/>
        <w:spacing w:lineRule="auto" w:line="360"/>
        <w:rPr/>
      </w:pPr>
      <w:r>
        <w:rPr/>
        <w:tab/>
      </w:r>
      <w:r>
        <w:rPr>
          <w:sz w:val="24"/>
        </w:rPr>
        <w:t xml:space="preserve">Options will be posted and made available to all shippers on its Internet and/or EBB site, and will be purchased and sold through an open sales process that will provide an opportunity for all interested parties to participate and will help ensure that the options are purchased or sold by those parties that place the highest value on the option, the relevant underlying capacity, or both.  Postings shall include, as applicable: underlying transportation rate, option fee, applicable receipt and delivery points, term of option, term of transportation service, type of option, transportation volume, method for awarding options, and instructions for bidding.  Options will be awarded based upon the valuation method specified in the posting, and the winning bid will be posted at the end of the bidding process. </w:t>
      </w:r>
    </w:p>
    <w:p>
      <w:pPr>
        <w:pStyle w:val="BodyText"/>
        <w:spacing w:lineRule="auto" w:line="360"/>
        <w:rPr/>
      </w:pPr>
      <w:r>
        <w:rPr/>
        <w:tab/>
        <w:t>Transwestern recognizes that the Commission has in the past articulated a policy against reserving firm capacity for a shipper at a future date without requiring the shipper to pay a reservation charge for that capacity shortly after the transportation contract is executed.</w:t>
      </w:r>
      <w:r>
        <w:rPr>
          <w:rStyle w:val="FootnoteCharacters"/>
          <w:rStyle w:val="FootnoteReference"/>
        </w:rPr>
        <w:footnoteReference w:id="9"/>
      </w:r>
      <w:r>
        <w:rPr/>
        <w:t xml:space="preserve">  The Commission's concern has been that such reservation of capacity might tie up long-term firm transportation service to the disadvantage of other shippers, and that the capacity might not be available to shippers that place the highest value on the capacity.  Transwestern's proposal for transportation options addresses the Commission's concerns about reserving capacity for shippers, and will offer the significant benefits to shippers as described herein.  Therefore an exception to the Commission's general policy on reservation of capacity would be appropriate in this case.  As previously stated, there is a growing market for the ability to pay an option fee for the right to obtain capacity in the future.  Transwestern's proposed tariff provisions are designed to meet this demand by making options available on a non-discriminatory basis, as described above.</w:t>
      </w:r>
    </w:p>
    <w:p>
      <w:pPr>
        <w:pStyle w:val="BodyText"/>
        <w:spacing w:lineRule="auto" w:line="360"/>
        <w:rPr>
          <w:u w:val="single"/>
        </w:rPr>
      </w:pPr>
      <w:r>
        <w:rPr>
          <w:u w:val="single"/>
        </w:rPr>
        <w:t>Adequacy of Capacity; Effect on Other Services</w:t>
      </w:r>
    </w:p>
    <w:p>
      <w:pPr>
        <w:pStyle w:val="BodyText"/>
        <w:spacing w:lineRule="auto" w:line="360"/>
        <w:rPr/>
      </w:pPr>
      <w:r>
        <w:rPr/>
        <w:tab/>
        <w:t>Options on transportation will be available for firm capacity only, and may be sold for capacity that is currently posted as available on Transwestern's EBB, or on capacity that will become available in the future.  Transwestern will implement a transportation book that identifies the available capacity and associated contracts, and all put and call options.  Counterparty call options on Transwestern capacity create a short position, whereas Counterparty put options create a long position.  In order to ensure that sufficient capacity will be available for the exercising of Counterparty options, Transwestern will establish position guidelines that allow for capacity short positions up to a predetermined limit of capacity.  In addition to other capacity and risk management tools it may choose to utilize, Transwestern may purchase one or more offsetting put options to restore its position within the guidelines if the sale of a call option results in Transwestern exceeding these short position guidelines.</w:t>
      </w:r>
    </w:p>
    <w:p>
      <w:pPr>
        <w:pStyle w:val="BodyText"/>
        <w:spacing w:lineRule="auto" w:line="360"/>
        <w:rPr/>
      </w:pPr>
      <w:r>
        <w:rPr/>
        <w:tab/>
        <w:t>The proposed options will have no effect on receipt and delivery point flexibility, nominations and scheduling, priority of service, allocation of capacity, operating conditions or curtailment under Transwestern's tariff.</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have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______________,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rStyle w:val="FootnoteCharacters"/>
          <w:sz w:val="24"/>
        </w:rPr>
      </w:pPr>
      <w:r>
        <w:rPr>
          <w:sz w:val="24"/>
        </w:rPr>
        <w:t>Vice President, Rates and Certificates</w:t>
      </w:r>
    </w:p>
    <w:p>
      <w:pPr>
        <w:pStyle w:val="Normal"/>
        <w:rPr>
          <w:rStyle w:val="FootnoteCharacters"/>
          <w:i/>
          <w:i/>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"Counterparty" is defined as any party, whether or not currently a shipper on Transwestern, that is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color w:val="000000"/>
        </w:rPr>
        <w:t xml:space="preserve"> </w:t>
      </w:r>
      <w:r>
        <w:rPr>
          <w:i/>
          <w:color w:val="000000"/>
        </w:rPr>
        <w:t>[cite Order 637]</w:t>
      </w:r>
    </w:p>
  </w:footnote>
  <w:footnote w:id="4">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5">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Tennessee Gas Pipeline Company</w:t>
      </w:r>
      <w:r>
        <w:rPr/>
        <w:t xml:space="preserve">, 89 FERC ¶ 61,033 (1999); </w:t>
      </w:r>
      <w:r>
        <w:rPr>
          <w:u w:val="single"/>
        </w:rPr>
        <w:t>Tennessee Gas Pipeline Company</w:t>
      </w:r>
      <w:r>
        <w:rPr/>
        <w:t xml:space="preserve">, 87 FERC ¶ 61,206 (1999). </w:t>
      </w:r>
    </w:p>
  </w:footnote>
  <w:footnote w:id="6">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and the Black-Scholes formula. </w:t>
      </w:r>
    </w:p>
  </w:footnote>
  <w:footnote w:id="7">
    <w:p>
      <w:pPr>
        <w:pStyle w:val="FootnoteText"/>
        <w:rPr/>
      </w:pPr>
      <w:r>
        <w:rPr>
          <w:rStyle w:val="FootnoteCharacters"/>
        </w:rPr>
        <w:footnoteRef/>
      </w:r>
      <w:r>
        <w:rPr/>
        <w:t xml:space="preserve"> </w:t>
      </w:r>
      <w:r>
        <w:rPr/>
        <w:t>T</w:t>
      </w:r>
      <w:r>
        <w:rPr>
          <w:color w:val="000000"/>
        </w:rPr>
        <w:t>he "spread value" is the risk-adjusted future price of natural gas at the receipt location (East of Thoreau) subtracted from the price of gas at the delivery location (California Border).  The result is the implied or embedded value for transportation along Transwestern's pipeline system.  Therefore, the spread value is a good proxy for what an "in the money" strike price should be for purposes of the option sale.</w:t>
      </w:r>
    </w:p>
  </w:footnote>
  <w:footnote w:id="8">
    <w:p>
      <w:pPr>
        <w:pStyle w:val="FootnoteText"/>
        <w:jc w:val="both"/>
        <w:rPr/>
      </w:pPr>
      <w:r>
        <w:rPr>
          <w:rStyle w:val="FootnoteCharacters"/>
        </w:rPr>
        <w:footnoteRef/>
      </w:r>
      <w:r>
        <w:rPr>
          <w:color w:val="000000"/>
        </w:rPr>
        <w:t xml:space="preserve"> </w:t>
      </w:r>
      <w:r>
        <w:rPr>
          <w:color w:val="000000"/>
        </w:rPr>
        <w:t>Transwestern proposes that the assessment of an "in the money" strike price doesn't necessarily commit Transwestern to offering an "in the money" option.  In fact, options for stocks or commodities are often purchased at "out of the money" strike prices.  The relationship is that the farther away the strike price is from the indicative price of the commodity (in the case of Transwestern options, the spread value of transportation), the less valuable the option is to the holder.  It also means that the probability of the option actually being exercised decreases.</w:t>
      </w:r>
    </w:p>
  </w:footnote>
  <w:footnote w:id="9">
    <w:p>
      <w:pPr>
        <w:pStyle w:val="FootnoteText"/>
        <w:jc w:val="both"/>
        <w:rPr/>
      </w:pPr>
      <w:r>
        <w:rPr>
          <w:rStyle w:val="FootnoteCharacters"/>
        </w:rPr>
        <w:footnoteRef/>
      </w:r>
      <w:r>
        <w:rPr/>
        <w:t xml:space="preserve"> </w:t>
      </w:r>
      <w:r>
        <w:rPr>
          <w:u w:val="single"/>
        </w:rPr>
        <w:t>See</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reasoning that Northern's tariff allowed too much time before the billing of reservation fees.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2000-07-31T20:25:00Z</dcterms:created>
  <dc:creator>Susan Scott</dc:creator>
  <dc:description/>
  <dc:language>en-CA</dc:language>
  <cp:lastModifiedBy>Susan Scott</cp:lastModifiedBy>
  <cp:lastPrinted>2000-07-31T18:09:00Z</cp:lastPrinted>
  <dcterms:modified xsi:type="dcterms:W3CDTF">2000-08-01T16:12:00Z</dcterms:modified>
  <cp:revision>4</cp:revision>
  <dc:subject/>
  <dc:title>DRAFT 6/14/00</dc:title>
</cp:coreProperties>
</file>