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sz w:val="16"/>
        </w:rPr>
      </w:pPr>
      <w:r>
        <w:rPr>
          <w:rFonts w:cs="Courier New" w:ascii="Courier New" w:hAnsi="Courier New"/>
          <w:b/>
          <w:sz w:val="16"/>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Normal"/>
              <w:rPr>
                <w:sz w:val="20"/>
              </w:rPr>
            </w:pPr>
            <w:r>
              <w:rPr>
                <w:sz w:val="20"/>
              </w:rPr>
            </w:r>
          </w:p>
        </w:tc>
        <w:tc>
          <w:tcPr>
            <w:tcW w:w="7740" w:type="dxa"/>
            <w:tcBorders/>
          </w:tcPr>
          <w:p>
            <w:pPr>
              <w:pStyle w:val="Heading"/>
              <w:tabs>
                <w:tab w:val="clear" w:pos="720"/>
                <w:tab w:val="left" w:pos="3222" w:leader="none"/>
              </w:tabs>
              <w:rPr>
                <w:b w:val="false"/>
                <w:sz w:val="20"/>
              </w:rPr>
            </w:pPr>
            <w:r>
              <w:rPr>
                <w:sz w:val="20"/>
              </w:rPr>
              <w:tab/>
              <w:t>Enron Power Marketing, Inc.</w:t>
            </w:r>
          </w:p>
          <w:p>
            <w:pPr>
              <w:pStyle w:val="Heading"/>
              <w:tabs>
                <w:tab w:val="clear" w:pos="720"/>
                <w:tab w:val="left" w:pos="3222" w:leader="none"/>
              </w:tabs>
              <w:rPr/>
            </w:pPr>
            <w:r>
              <w:rPr>
                <w:b w:val="false"/>
                <w:i/>
                <w:sz w:val="20"/>
              </w:rPr>
              <w:tab/>
            </w:r>
            <w:r>
              <w:rPr>
                <w:b w:val="false"/>
                <w:sz w:val="16"/>
              </w:rPr>
              <w:t>P.O. Box 4428</w:t>
            </w:r>
          </w:p>
          <w:p>
            <w:pPr>
              <w:pStyle w:val="BodyTextIndent"/>
              <w:tabs>
                <w:tab w:val="clear" w:pos="7362"/>
                <w:tab w:val="left" w:pos="3222" w:leader="none"/>
              </w:tabs>
              <w:rPr>
                <w:i w:val="false"/>
                <w:i w:val="false"/>
                <w:sz w:val="16"/>
              </w:rPr>
            </w:pPr>
            <w:r>
              <w:rPr>
                <w:i w:val="false"/>
                <w:sz w:val="16"/>
              </w:rPr>
              <w:tab/>
              <w:t>Houston, Texas 77210-4428</w:t>
            </w:r>
          </w:p>
          <w:p>
            <w:pPr>
              <w:pStyle w:val="Normal"/>
              <w:tabs>
                <w:tab w:val="clear" w:pos="720"/>
                <w:tab w:val="left" w:pos="3222" w:leader="none"/>
              </w:tabs>
              <w:rPr>
                <w:sz w:val="20"/>
              </w:rPr>
            </w:pPr>
            <w:r>
              <w:rPr>
                <w:rFonts w:cs="Arial" w:ascii="Arial" w:hAnsi="Arial"/>
                <w:sz w:val="16"/>
              </w:rPr>
              <w:tab/>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December __, 2000</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Omaha Public Power District</w:t>
      </w:r>
      <w:r>
        <w:rPr>
          <w:sz w:val="22"/>
        </w:rPr>
        <w:fldChar w:fldCharType="end"/>
      </w:r>
    </w:p>
    <w:p>
      <w:pPr>
        <w:pStyle w:val="Normal"/>
        <w:rPr/>
      </w:pPr>
      <w:r>
        <w:rPr>
          <w:sz w:val="22"/>
        </w:rPr>
        <w:t>444 So. 16</w:t>
      </w:r>
      <w:r>
        <w:rPr>
          <w:sz w:val="22"/>
          <w:vertAlign w:val="superscript"/>
        </w:rPr>
        <w:t>th</w:t>
      </w:r>
      <w:r>
        <w:rPr>
          <w:sz w:val="22"/>
        </w:rPr>
        <w:t xml:space="preserve"> Street Mall</w:t>
      </w:r>
    </w:p>
    <w:p>
      <w:pPr>
        <w:pStyle w:val="Normal"/>
        <w:rPr>
          <w:sz w:val="22"/>
        </w:rPr>
      </w:pPr>
      <w:r>
        <w:rPr>
          <w:sz w:val="22"/>
        </w:rPr>
        <w:t>4E/EP 1 SP</w:t>
      </w:r>
    </w:p>
    <w:p>
      <w:pPr>
        <w:pStyle w:val="Normal"/>
        <w:rPr>
          <w:sz w:val="22"/>
        </w:rPr>
      </w:pPr>
      <w:r>
        <w:rPr>
          <w:sz w:val="22"/>
        </w:rPr>
        <w:t>Omaha, Nebraska 68102-2247</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VIA </w:t>
      </w: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t>FAX AND FEDERAL EXPRESS</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Heading4"/>
        <w:spacing w:before="120" w:after="0"/>
        <w:ind w:hanging="0" w:start="0"/>
        <w:rPr>
          <w:smallCaps/>
          <w:sz w:val="22"/>
          <w:u w:val="single"/>
        </w:rPr>
      </w:pPr>
      <w:r>
        <w:rPr>
          <w:smallCaps/>
          <w:sz w:val="22"/>
          <w:u w:val="single"/>
        </w:rPr>
        <w:t>(Call Option)</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December __, 2000 ("Trade Date") between </w:t>
      </w:r>
      <w:r>
        <w:rPr>
          <w:sz w:val="22"/>
        </w:rPr>
        <w:fldChar w:fldCharType="begin"/>
      </w:r>
      <w:r>
        <w:rPr>
          <w:sz w:val="22"/>
        </w:rPr>
        <w:instrText xml:space="preserve"> MERGEFIELD CounterpartyName </w:instrText>
      </w:r>
      <w:r>
        <w:rPr>
          <w:sz w:val="22"/>
        </w:rPr>
        <w:fldChar w:fldCharType="separate"/>
      </w:r>
      <w:r>
        <w:rPr>
          <w:sz w:val="22"/>
        </w:rPr>
        <w:t>Omaha Public Power District</w:t>
      </w:r>
      <w:r>
        <w:rPr>
          <w:sz w:val="22"/>
        </w:rPr>
        <w:fldChar w:fldCharType="end"/>
      </w:r>
      <w:r>
        <w:rPr>
          <w:sz w:val="22"/>
        </w:rPr>
        <w:t xml:space="preserve"> (“OPPD”) and </w:t>
      </w:r>
      <w:r>
        <w:rPr>
          <w:sz w:val="22"/>
        </w:rPr>
        <w:fldChar w:fldCharType="begin"/>
      </w:r>
      <w:r>
        <w:rPr>
          <w:sz w:val="22"/>
        </w:rPr>
        <w:instrText xml:space="preserve"> MERGEFIELD EnronEntityNameCode </w:instrText>
      </w:r>
      <w:r>
        <w:rPr>
          <w:sz w:val="22"/>
        </w:rPr>
        <w:fldChar w:fldCharType="separate"/>
      </w:r>
      <w:r>
        <w:rPr>
          <w:sz w:val="22"/>
        </w:rPr>
        <w:t>Enron Power Marketing, Inc. (“EPMI”)</w:t>
      </w:r>
      <w:r>
        <w:rPr>
          <w:sz w:val="22"/>
        </w:rPr>
        <w:fldChar w:fldCharType="end"/>
      </w:r>
      <w:r>
        <w:rPr>
          <w:sz w:val="22"/>
        </w:rPr>
        <w:t xml:space="preserve"> regarding the sale of a </w:t>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t xml:space="preserve"> under the terms and conditions that follow:</w:t>
      </w:r>
    </w:p>
    <w:tbl>
      <w:tblPr>
        <w:tblW w:w="9630" w:type="dxa"/>
        <w:jc w:val="start"/>
        <w:tblInd w:w="18" w:type="dxa"/>
        <w:tblLayout w:type="fixed"/>
        <w:tblCellMar>
          <w:top w:w="0" w:type="dxa"/>
          <w:start w:w="108" w:type="dxa"/>
          <w:bottom w:w="0" w:type="dxa"/>
          <w:end w:w="108" w:type="dxa"/>
        </w:tblCellMar>
      </w:tblPr>
      <w:tblGrid>
        <w:gridCol w:w="3060"/>
        <w:gridCol w:w="6570"/>
      </w:tblGrid>
      <w:tr>
        <w:trPr/>
        <w:tc>
          <w:tcPr>
            <w:tcW w:w="963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b/>
                <w:smallCaps/>
                <w:sz w:val="22"/>
              </w:rPr>
              <w:t>General Terms of Transaction:</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Seller: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OPPD</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Buyer: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 xml:space="preserve">EPMI </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Commodity: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Service </w:instrText>
            </w:r>
            <w:r>
              <w:rPr>
                <w:sz w:val="22"/>
              </w:rPr>
              <w:fldChar w:fldCharType="separate"/>
            </w:r>
            <w:r>
              <w:rPr>
                <w:sz w:val="22"/>
              </w:rPr>
              <w:t>Firm Energy</w:t>
            </w:r>
            <w:r>
              <w:rPr>
                <w:sz w:val="22"/>
              </w:rPr>
              <w:fldChar w:fldCharType="end"/>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Term:</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Hour Ending (“HE”) 0100 Central Standard Time  (“CST“) January 1, 2002 through HE 2400 CST December 31, 2008</w:t>
            </w:r>
            <w:r>
              <w:rPr/>
              <w:t xml:space="preserve"> </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u w:val="single"/>
              </w:rPr>
            </w:pPr>
            <w:r>
              <w:rPr>
                <w:b/>
                <w:sz w:val="22"/>
              </w:rPr>
              <w:t>Strike Price:</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u w:val="single"/>
              </w:rPr>
            </w:pPr>
            <w:r>
              <w:rPr>
                <w:sz w:val="22"/>
              </w:rPr>
              <w:t>Market Price, as quoted by OPPD at the time a request for energy is made by EPMI pursuant to its Daily Call</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Option Premium:</w:t>
            </w:r>
          </w:p>
        </w:tc>
        <w:tc>
          <w:tcPr>
            <w:tcW w:w="6570" w:type="dxa"/>
            <w:tcBorders/>
          </w:tcPr>
          <w:p>
            <w:pPr>
              <w:pStyle w:val="Heading7"/>
              <w:spacing w:before="240" w:after="0"/>
              <w:ind w:hanging="0" w:start="0"/>
              <w:rPr/>
            </w:pPr>
            <w:r>
              <w:rPr>
                <w:b w:val="false"/>
              </w:rPr>
              <w:fldChar w:fldCharType="begin"/>
            </w:r>
            <w:r>
              <w:rPr>
                <w:b w:val="false"/>
              </w:rPr>
              <w:instrText xml:space="preserve"> MERGEFIELD OptionPremiumAmt </w:instrText>
            </w:r>
            <w:r>
              <w:rPr>
                <w:b w:val="false"/>
              </w:rPr>
              <w:fldChar w:fldCharType="separate"/>
            </w:r>
            <w:r>
              <w:rPr>
                <w:b w:val="false"/>
              </w:rPr>
              <w:t>US Dollars $</w:t>
            </w:r>
            <w:r>
              <w:rPr>
                <w:b w:val="false"/>
              </w:rPr>
              <w:fldChar w:fldCharType="end"/>
            </w:r>
            <w:r>
              <w:rPr>
                <w:b w:val="false"/>
              </w:rPr>
              <w:t xml:space="preserve">______ </w:t>
            </w:r>
            <w:r>
              <w:rPr>
                <w:b w:val="false"/>
                <w:bCs/>
              </w:rPr>
              <w:t>total payment prorated monthly over the Delivery Term, to be adjusted annually on December 31</w:t>
            </w:r>
            <w:r>
              <w:rPr>
                <w:b w:val="false"/>
                <w:bCs/>
                <w:vertAlign w:val="superscript"/>
              </w:rPr>
              <w:t>st</w:t>
            </w:r>
            <w:r>
              <w:rPr>
                <w:b w:val="false"/>
                <w:bCs/>
              </w:rPr>
              <w:t xml:space="preserve"> starting with December 31, 2001 for the following year’s monthly payment amounts based upon the LIBOR discount rate prevailing at the time of such December 31</w:t>
            </w:r>
            <w:r>
              <w:rPr>
                <w:b w:val="false"/>
                <w:bCs/>
                <w:vertAlign w:val="superscript"/>
              </w:rPr>
              <w:t>st</w:t>
            </w:r>
            <w:r>
              <w:rPr>
                <w:b w:val="false"/>
                <w:bCs/>
              </w:rPr>
              <w:t xml:space="preserve"> calculation, paid following</w:t>
            </w:r>
            <w:r>
              <w:rPr>
                <w:b w:val="false"/>
              </w:rPr>
              <w:t xml:space="preserve"> receipt of invoice, commencing with an invoice in January 2002.</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Contract Quantity: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100 MWs</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Point(s):</w:t>
            </w:r>
          </w:p>
        </w:tc>
        <w:tc>
          <w:tcPr>
            <w:tcW w:w="6570" w:type="dxa"/>
            <w:tcBorders/>
          </w:tcPr>
          <w:p>
            <w:pPr>
              <w:pStyle w:val="Heading2"/>
              <w:snapToGrid w:val="false"/>
              <w:ind w:hanging="0" w:start="0"/>
              <w:rPr>
                <w:b/>
                <w:sz w:val="22"/>
              </w:rPr>
            </w:pPr>
            <w:r>
              <w:rPr>
                <w:b/>
                <w:sz w:val="22"/>
              </w:rPr>
            </w:r>
          </w:p>
          <w:p>
            <w:pPr>
              <w:pStyle w:val="Heading2"/>
              <w:spacing w:before="0" w:after="120"/>
              <w:ind w:hanging="0" w:start="0"/>
              <w:rPr/>
            </w:pPr>
            <w:r>
              <w:rPr/>
              <w:t>"</w:t>
            </w:r>
            <w:r>
              <w:rPr>
                <w:i/>
              </w:rPr>
              <w:t>Point(s) of Interconnection</w:t>
            </w:r>
            <w:r>
              <w:rPr/>
              <w:t>” shall be all points of interconnection on the border of Seller’s system.  Subject to the constraints of Seller’s transmission system, Buyer shall have the right to select the Point(s) of Interconnection to be utilized and shall have the right to select the quantities to be made available at each selected Point of Interconnection.  Buyer shall also have the right, upon notice to Buyer, to change (i) its selection of Point(s) of Interconnection and/or, (ii) the quantity to be made available at each such Point of Interconnection.</w:t>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Scheduling:</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1 - (800) 349-5527</w:t>
            </w:r>
            <w:r>
              <w:rPr>
                <w:sz w:val="22"/>
              </w:rPr>
              <w:fldChar w:fldCharType="end"/>
            </w:r>
            <w:r>
              <w:rPr>
                <w:sz w:val="22"/>
              </w:rPr>
              <w:t xml:space="preserve"> </w:t>
            </w:r>
            <w:r>
              <w:rPr/>
              <w:fldChar w:fldCharType="begin"/>
            </w:r>
            <w:r>
              <w:rPr/>
              <w:instrText xml:space="preserve"> MERGEFIELD ScheduleLanguage </w:instrText>
            </w:r>
            <w:r>
              <w:rPr/>
              <w:fldChar w:fldCharType="separate"/>
            </w:r>
            <w:r>
              <w:rPr/>
              <w:t xml:space="preserve"> </w:t>
            </w:r>
            <w:r>
              <w:rPr/>
              <w:fldChar w:fldCharType="end"/>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Special Condition(s):</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b/>
                <w:sz w:val="22"/>
              </w:rPr>
            </w:pPr>
            <w:r>
              <w:rPr>
                <w:sz w:val="22"/>
              </w:rPr>
              <w:t xml:space="preserve">For each day of the Delivery Term set forth above EPMI has the </w:t>
            </w:r>
            <w:r>
              <w:rPr>
                <w:sz w:val="22"/>
              </w:rPr>
              <w:fldChar w:fldCharType="begin"/>
            </w:r>
            <w:r>
              <w:rPr>
                <w:sz w:val="22"/>
              </w:rPr>
              <w:instrText xml:space="preserve"> MERGEFIELD DeliveryPoint </w:instrText>
            </w:r>
            <w:r>
              <w:rPr>
                <w:sz w:val="22"/>
              </w:rPr>
              <w:fldChar w:fldCharType="separate"/>
            </w:r>
            <w:r>
              <w:rPr>
                <w:sz w:val="22"/>
              </w:rPr>
              <w:t>daily</w:t>
            </w:r>
            <w:r>
              <w:rPr>
                <w:sz w:val="22"/>
              </w:rPr>
              <w:fldChar w:fldCharType="end"/>
            </w:r>
            <w:r>
              <w:rPr>
                <w:sz w:val="22"/>
              </w:rPr>
              <w:t xml:space="preserve"> right but not the obligation </w:t>
            </w:r>
            <w:r>
              <w:rPr>
                <w:sz w:val="22"/>
              </w:rPr>
              <w:fldChar w:fldCharType="begin"/>
            </w:r>
            <w:r>
              <w:rPr>
                <w:sz w:val="22"/>
              </w:rPr>
              <w:instrText xml:space="preserve"> MERGEFIELD DeliveryPoint </w:instrText>
            </w:r>
            <w:r>
              <w:rPr>
                <w:sz w:val="22"/>
              </w:rPr>
              <w:fldChar w:fldCharType="separate"/>
            </w:r>
            <w:r>
              <w:rPr>
                <w:sz w:val="22"/>
              </w:rPr>
              <w:t>to purchase and receive</w:t>
            </w:r>
            <w:r>
              <w:rPr>
                <w:sz w:val="22"/>
              </w:rPr>
              <w:fldChar w:fldCharType="end"/>
            </w:r>
            <w:r>
              <w:rPr>
                <w:sz w:val="22"/>
              </w:rPr>
              <w:t xml:space="preserve"> </w:t>
            </w:r>
            <w:r>
              <w:rPr>
                <w:sz w:val="22"/>
              </w:rPr>
              <w:fldChar w:fldCharType="begin"/>
            </w:r>
            <w:r>
              <w:rPr>
                <w:sz w:val="22"/>
              </w:rPr>
              <w:instrText xml:space="preserve"> MERGEFIELD DeliveryPoint </w:instrText>
            </w:r>
            <w:r>
              <w:rPr>
                <w:sz w:val="22"/>
              </w:rPr>
              <w:fldChar w:fldCharType="separate"/>
            </w:r>
            <w:r>
              <w:rPr>
                <w:sz w:val="22"/>
              </w:rPr>
              <w:t xml:space="preserve">100 Mws of Firm Energy per hour </w:t>
            </w:r>
            <w:r>
              <w:rPr>
                <w:sz w:val="22"/>
              </w:rPr>
              <w:fldChar w:fldCharType="end"/>
            </w:r>
            <w:r>
              <w:rPr>
                <w:sz w:val="22"/>
              </w:rPr>
              <w:t xml:space="preserve">at the Strike Price above “(Daily Call”).  In order to exercise its </w:t>
            </w:r>
            <w:r>
              <w:rPr>
                <w:sz w:val="22"/>
              </w:rPr>
              <w:fldChar w:fldCharType="begin"/>
            </w:r>
            <w:r>
              <w:rPr>
                <w:sz w:val="22"/>
              </w:rPr>
              <w:instrText xml:space="preserve"> MERGEFIELD OptionExpiryFreq </w:instrText>
            </w:r>
            <w:r>
              <w:rPr>
                <w:sz w:val="22"/>
              </w:rPr>
              <w:fldChar w:fldCharType="separate"/>
            </w:r>
            <w:r>
              <w:rPr>
                <w:sz w:val="22"/>
              </w:rPr>
              <w:t>daily</w:t>
            </w:r>
            <w:r>
              <w:rPr>
                <w:sz w:val="22"/>
              </w:rPr>
              <w:fldChar w:fldCharType="end"/>
            </w:r>
            <w:r>
              <w:rPr>
                <w:sz w:val="22"/>
              </w:rPr>
              <w:t xml:space="preserve"> option, EPMI must provide telephone notice to OPPD, no later than 10:00 a.m. CPT on the prior Business Day.  If the Option is properly exercised, the parties shall be obligated to schedule, deliver and receive the Contract Quantity for such day of the Delivery Term for which the Option is exercised. </w:t>
            </w:r>
            <w:r>
              <w:rPr>
                <w:sz w:val="22"/>
              </w:rPr>
              <w:fldChar w:fldCharType="begin"/>
            </w:r>
            <w:r>
              <w:rPr>
                <w:sz w:val="22"/>
              </w:rPr>
              <w:instrText xml:space="preserve"> MERGEFIELD DeliveryPoint </w:instrText>
            </w:r>
            <w:r>
              <w:rPr>
                <w:sz w:val="22"/>
              </w:rPr>
              <w:fldChar w:fldCharType="separate"/>
            </w:r>
            <w:r>
              <w:rPr>
                <w:sz w:val="22"/>
              </w:rPr>
              <w:t xml:space="preserve"> </w:t>
            </w:r>
            <w:r>
              <w:rPr>
                <w:sz w:val="22"/>
              </w:rPr>
              <w:fldChar w:fldCharType="end"/>
            </w:r>
            <w:r>
              <w:rPr>
                <w:sz w:val="22"/>
              </w:rPr>
              <w:t xml:space="preserve"> </w:t>
            </w:r>
          </w:p>
        </w:tc>
      </w:tr>
      <w:tr>
        <w:trPr/>
        <w:tc>
          <w:tcPr>
            <w:tcW w:w="3060" w:type="dxa"/>
            <w:tcBorders/>
          </w:tcPr>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b/>
                <w:smallCaps/>
                <w:sz w:val="22"/>
              </w:rPr>
            </w:pPr>
            <w:r>
              <w:rPr>
                <w:b/>
                <w:smallCaps/>
                <w:sz w:val="22"/>
              </w:rPr>
              <w:t>General Terms and</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mallCaps/>
                <w:sz w:val="22"/>
              </w:rPr>
            </w:pPr>
            <w:r>
              <w:rPr>
                <w:b/>
                <w:smallCaps/>
                <w:sz w:val="22"/>
              </w:rPr>
              <w:t>Conditions of</w:t>
            </w:r>
          </w:p>
          <w:p>
            <w:pPr>
              <w:pStyle w:val="Normal"/>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b/>
                <w:sz w:val="22"/>
              </w:rPr>
            </w:pPr>
            <w:r>
              <w:rPr>
                <w:b/>
                <w:smallCaps/>
                <w:sz w:val="22"/>
              </w:rPr>
              <w:t>Transaction:</w:t>
            </w:r>
          </w:p>
        </w:tc>
        <w:tc>
          <w:tcPr>
            <w:tcW w:w="6570" w:type="dxa"/>
            <w:tcBorders/>
          </w:tcPr>
          <w:p>
            <w:pPr>
              <w:pStyle w:val="Justified"/>
              <w:keepNext w:val="true"/>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720" w:after="0"/>
              <w:rPr/>
            </w:pPr>
            <w:r>
              <w:rPr/>
              <w:t>The general terms and conditions contained in Annex A attached to this Confirmation and made a part hereof apply and are incorporated herein by reference.</w:t>
            </w:r>
          </w:p>
        </w:tc>
      </w:tr>
    </w:tbl>
    <w:p>
      <w:pPr>
        <w:pStyle w:val="BodyTextIndent"/>
        <w:keepNext w:val="true"/>
        <w:tabs>
          <w:tab w:val="clear" w:pos="7362"/>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end="0"/>
        <w:jc w:val="both"/>
        <w:rPr/>
      </w:pPr>
      <w:r>
        <w:rPr>
          <w:rFonts w:cs="Times New Roman" w:ascii="Times New Roman" w:hAnsi="Times New Roman"/>
          <w:b/>
          <w:i w:val="false"/>
          <w:sz w:val="22"/>
        </w:rPr>
        <w:t xml:space="preserve">Please confirm that this Confirmation correctly sets forth the terms of the Transaction that we have entered into by returning an executed copy of this letter by facsimile to </w:t>
      </w:r>
      <w:r>
        <w:rPr>
          <w:rFonts w:cs="Times New Roman" w:ascii="Times New Roman" w:hAnsi="Times New Roman"/>
          <w:b/>
          <w:i w:val="false"/>
          <w:sz w:val="22"/>
        </w:rPr>
        <w:fldChar w:fldCharType="begin"/>
      </w:r>
      <w:r>
        <w:rPr>
          <w:sz w:val="22"/>
          <w:i w:val="false"/>
          <w:b/>
          <w:rFonts w:cs="Times New Roman" w:ascii="Times New Roman" w:hAnsi="Times New Roman"/>
        </w:rPr>
        <w:instrText xml:space="preserve"> MERGEFIELD EnronEntityCode </w:instrText>
      </w:r>
      <w:r>
        <w:rPr>
          <w:sz w:val="22"/>
          <w:i w:val="false"/>
          <w:b/>
          <w:rFonts w:cs="Times New Roman" w:ascii="Times New Roman" w:hAnsi="Times New Roman"/>
        </w:rPr>
        <w:fldChar w:fldCharType="separate"/>
      </w:r>
      <w:r>
        <w:rPr>
          <w:sz w:val="22"/>
          <w:i w:val="false"/>
          <w:b/>
          <w:rFonts w:cs="Times New Roman" w:ascii="Times New Roman" w:hAnsi="Times New Roman"/>
        </w:rPr>
        <w:t>EPMI</w:t>
      </w:r>
      <w:r>
        <w:rPr>
          <w:sz w:val="22"/>
          <w:i w:val="false"/>
          <w:b/>
          <w:rFonts w:cs="Times New Roman" w:ascii="Times New Roman" w:hAnsi="Times New Roman"/>
        </w:rPr>
        <w:fldChar w:fldCharType="end"/>
      </w:r>
      <w:r>
        <w:rPr>
          <w:rFonts w:cs="Times New Roman" w:ascii="Times New Roman" w:hAnsi="Times New Roman"/>
          <w:b/>
          <w:i w:val="false"/>
          <w:sz w:val="22"/>
        </w:rPr>
        <w:t xml:space="preserve"> at </w:t>
      </w:r>
      <w:r>
        <w:rPr>
          <w:rFonts w:cs="Times New Roman" w:ascii="Times New Roman" w:hAnsi="Times New Roman"/>
          <w:b/>
          <w:i w:val="false"/>
          <w:sz w:val="22"/>
        </w:rPr>
        <w:fldChar w:fldCharType="begin"/>
      </w:r>
      <w:r>
        <w:rPr>
          <w:sz w:val="22"/>
          <w:i w:val="false"/>
          <w:b/>
          <w:rFonts w:cs="Times New Roman" w:ascii="Times New Roman" w:hAnsi="Times New Roman"/>
        </w:rPr>
        <w:instrText xml:space="preserve"> MERGEFIELD EnronFax </w:instrText>
      </w:r>
      <w:r>
        <w:rPr>
          <w:sz w:val="22"/>
          <w:i w:val="false"/>
          <w:b/>
          <w:rFonts w:cs="Times New Roman" w:ascii="Times New Roman" w:hAnsi="Times New Roman"/>
        </w:rPr>
        <w:fldChar w:fldCharType="separate"/>
      </w:r>
      <w:r>
        <w:rPr>
          <w:sz w:val="22"/>
          <w:i w:val="false"/>
          <w:b/>
          <w:rFonts w:cs="Times New Roman" w:ascii="Times New Roman" w:hAnsi="Times New Roman"/>
        </w:rPr>
        <w:t>(713) 646-2491</w:t>
      </w:r>
      <w:r>
        <w:rPr>
          <w:sz w:val="22"/>
          <w:i w:val="false"/>
          <w:b/>
          <w:rFonts w:cs="Times New Roman" w:ascii="Times New Roman" w:hAnsi="Times New Roman"/>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Omaha Public Power District</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 Power Marketing, Inc.</w:t>
            </w:r>
            <w:r>
              <w:rPr>
                <w:smallCaps/>
                <w:sz w:val="22"/>
                <w:b/>
              </w:rPr>
              <w:fldChar w:fldCharType="end"/>
            </w:r>
          </w:p>
        </w:tc>
      </w:tr>
      <w:tr>
        <w:trPr/>
        <w:tc>
          <w:tcPr>
            <w:tcW w:w="5058" w:type="dxa"/>
            <w:tcBorders/>
          </w:tcPr>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tabs>
                <w:tab w:val="clear" w:pos="720"/>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 xml:space="preserve">By::  </w:t>
            </w:r>
            <w:r>
              <w:rPr>
                <w:sz w:val="22"/>
                <w:u w:val="single"/>
              </w:rPr>
              <w:tab/>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sz w:val="22"/>
              </w:rPr>
              <w:t xml:space="preserve">Name:  </w:t>
            </w:r>
            <w:r>
              <w:rPr>
                <w:sz w:val="22"/>
                <w:u w:val="single"/>
              </w:rPr>
              <w:tab/>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Kevin Presto</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Vice President</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b/>
                <w:smallCaps/>
                <w:sz w:val="22"/>
              </w:rPr>
              <w:t xml:space="preserve">Counterparty:  After you have confirmed Transaction, please return to </w:t>
            </w:r>
            <w:r>
              <w:rPr>
                <w:b/>
                <w:smallCaps/>
                <w:sz w:val="22"/>
              </w:rPr>
              <w:fldChar w:fldCharType="begin"/>
            </w:r>
            <w:r>
              <w:rPr>
                <w:smallCaps/>
                <w:sz w:val="22"/>
                <w:b/>
              </w:rPr>
              <w:instrText xml:space="preserve"> MERGEFIELD EnronEntityCode </w:instrText>
            </w:r>
            <w:r>
              <w:rPr>
                <w:smallCaps/>
                <w:sz w:val="22"/>
                <w:b/>
              </w:rPr>
              <w:fldChar w:fldCharType="separate"/>
            </w:r>
            <w:r>
              <w:rPr>
                <w:smallCaps/>
                <w:sz w:val="22"/>
                <w:b/>
              </w:rPr>
              <w:t>EPMI</w:t>
            </w:r>
            <w:r>
              <w:rPr>
                <w:smallCaps/>
                <w:sz w:val="22"/>
                <w:b/>
              </w:rPr>
              <w:fldChar w:fldCharType="end"/>
            </w:r>
            <w:r>
              <w:rPr>
                <w:b/>
                <w:smallCaps/>
                <w:sz w:val="22"/>
              </w:rPr>
              <w:t xml:space="preserve"> at </w:t>
            </w:r>
            <w:r>
              <w:rPr>
                <w:b/>
                <w:smallCaps/>
                <w:sz w:val="22"/>
              </w:rPr>
              <w:fldChar w:fldCharType="begin"/>
            </w:r>
            <w:r>
              <w:rPr>
                <w:smallCaps/>
                <w:sz w:val="22"/>
                <w:b/>
              </w:rPr>
              <w:instrText xml:space="preserve"> MERGEFIELD EnronFax </w:instrText>
            </w:r>
            <w:r>
              <w:rPr>
                <w:smallCaps/>
                <w:sz w:val="22"/>
                <w:b/>
              </w:rPr>
              <w:fldChar w:fldCharType="separate"/>
            </w:r>
            <w:r>
              <w:rPr>
                <w:smallCaps/>
                <w:sz w:val="22"/>
                <w:b/>
              </w:rPr>
              <w:t>(713) 646-2491</w:t>
            </w:r>
            <w:r>
              <w:rPr>
                <w:smallCaps/>
                <w:sz w:val="22"/>
                <w:b/>
              </w:rPr>
              <w:fldChar w:fldCharType="end"/>
            </w:r>
            <w:r>
              <w:rPr>
                <w:b/>
                <w:smallCaps/>
                <w:sz w:val="22"/>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Heading2"/>
        <w:spacing w:before="0" w:after="0"/>
        <w:ind w:hanging="0" w:start="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Omaha Public Power District</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Omaha Public Power District</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Omaha Public Power District</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fldChar w:fldCharType="begin"/>
            </w:r>
            <w:r>
              <w:rPr>
                <w:sz w:val="20"/>
              </w:rPr>
              <w:instrText xml:space="preserve"> MERGEFIELD CounterpartyName </w:instrText>
            </w:r>
            <w:r>
              <w:rPr>
                <w:sz w:val="20"/>
              </w:rPr>
              <w:fldChar w:fldCharType="separate"/>
            </w:r>
            <w:r>
              <w:rPr>
                <w:sz w:val="20"/>
              </w:rPr>
              <w:t>Omaha Public Power District</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4302 Leavenworth Street</w:t>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ECC – 1 SYS OPS</w:t>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Omaha, Nebraska 68105</w:t>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2"/>
              </w:rPr>
              <w:t>Attn.:  System Operations</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Omaha Public Power District</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CounterpartyName </w:instrText>
            </w:r>
            <w:r>
              <w:rPr>
                <w:sz w:val="20"/>
              </w:rPr>
              <w:fldChar w:fldCharType="separate"/>
            </w:r>
            <w:r>
              <w:rPr>
                <w:sz w:val="20"/>
              </w:rPr>
              <w:t>Omaha Public Power District</w:t>
            </w:r>
            <w:r>
              <w:rPr>
                <w:sz w:val="20"/>
              </w:rPr>
              <w:fldChar w:fldCharType="end"/>
            </w:r>
          </w:p>
          <w:p>
            <w:pPr>
              <w:pStyle w:val="Normal"/>
              <w:ind w:start="720" w:end="0"/>
              <w:rPr>
                <w:sz w:val="20"/>
              </w:rPr>
            </w:pPr>
            <w:r>
              <w:rPr>
                <w:sz w:val="20"/>
              </w:rPr>
              <w:t>444 So. 16th Street Mall</w:t>
            </w:r>
          </w:p>
          <w:p>
            <w:pPr>
              <w:pStyle w:val="Normal"/>
              <w:ind w:start="720" w:end="0"/>
              <w:rPr>
                <w:sz w:val="20"/>
              </w:rPr>
            </w:pPr>
            <w:r>
              <w:rPr>
                <w:sz w:val="20"/>
              </w:rPr>
              <w:t>4E/EP 1 SP</w:t>
            </w:r>
          </w:p>
          <w:p>
            <w:pPr>
              <w:pStyle w:val="Normal"/>
              <w:ind w:start="720" w:end="0"/>
              <w:rPr>
                <w:sz w:val="20"/>
              </w:rPr>
            </w:pPr>
            <w:r>
              <w:rPr>
                <w:sz w:val="20"/>
              </w:rPr>
              <w:t>Omaha, Nebraska 68102-2247</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Manager Integrated Resource Planning</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Phone:  (402) 636-3585</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Facsimile:  (402) 636-3926</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BodyTextIndent"/>
        <w:tabs>
          <w:tab w:val="clear" w:pos="7362"/>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jc w:val="both"/>
        <w:rPr/>
      </w:pPr>
      <w:r>
        <w:rPr/>
        <w:t>Counterparty:  Please confirm or provide the requested information</w:t>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clear" w:pos="720"/>
          <w:tab w:val="left" w:pos="0" w:leader="none"/>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clear" w:pos="720"/>
          <w:tab w:val="left" w:pos="0" w:leader="none"/>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2"/>
        </w:numPr>
        <w:tabs>
          <w:tab w:val="clear" w:pos="720"/>
          <w:tab w:val="left" w:pos="0" w:leader="none"/>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Heading2"/>
        <w:numPr>
          <w:ilvl w:val="0"/>
          <w:numId w:val="2"/>
        </w:numPr>
        <w:tabs>
          <w:tab w:val="clear" w:pos="720"/>
          <w:tab w:val="left" w:pos="0" w:leader="none"/>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numPr>
          <w:ilvl w:val="0"/>
          <w:numId w:val="2"/>
        </w:numPr>
        <w:tabs>
          <w:tab w:val="clear" w:pos="720"/>
          <w:tab w:val="left" w:pos="0" w:leader="none"/>
          <w:tab w:val="left" w:pos="27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4"/>
        </w:numPr>
        <w:tabs>
          <w:tab w:val="clear" w:pos="720"/>
          <w:tab w:val="left" w:pos="0" w:leader="none"/>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4"/>
        </w:numPr>
        <w:tabs>
          <w:tab w:val="clear" w:pos="720"/>
          <w:tab w:val="left" w:pos="0" w:leader="none"/>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5"/>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90" w:end="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0" w:leader="none"/>
          <w:tab w:val="left" w:pos="270" w:leader="none"/>
          <w:tab w:val="left" w:pos="540" w:leader="none"/>
          <w:tab w:val="left" w:pos="108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6"/>
        </w:numPr>
        <w:tabs>
          <w:tab w:val="clear" w:pos="720"/>
          <w:tab w:val="left" w:pos="0" w:leader="none"/>
          <w:tab w:val="left" w:pos="270" w:leader="none"/>
          <w:tab w:val="left" w:pos="1080" w:leader="none"/>
        </w:tabs>
        <w:spacing w:before="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0" w:leader="none"/>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6"/>
        </w:numPr>
        <w:tabs>
          <w:tab w:val="clear" w:pos="720"/>
          <w:tab w:val="left" w:pos="0" w:leader="none"/>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6"/>
        </w:numPr>
        <w:tabs>
          <w:tab w:val="clear" w:pos="720"/>
          <w:tab w:val="left" w:pos="0" w:leader="none"/>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clear" w:pos="720"/>
          <w:tab w:val="left" w:pos="0" w:leader="none"/>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clear" w:pos="720"/>
          <w:tab w:val="left" w:pos="0" w:leader="none"/>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6"/>
        </w:numPr>
        <w:tabs>
          <w:tab w:val="clear" w:pos="720"/>
          <w:tab w:val="left" w:pos="0" w:leader="none"/>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ind w:hanging="0" w:start="0"/>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0" w:after="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headerReference w:type="default" r:id="rId11"/>
      <w:footerReference w:type="default" r:id="rId12"/>
      <w:type w:val="nextPage"/>
      <w:pgSz w:w="12321" w:h="15840"/>
      <w:pgMar w:left="1152" w:right="171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pPr>
    <w:r>
      <w:rPr>
        <w:rStyle w:val="PageNumber"/>
        <w:sz w:val="18"/>
      </w:rPr>
      <w:t>Form Date: 9/99</w:t>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smallCaps/>
        <w:sz w:val="18"/>
      </w:rPr>
    </w:pPr>
    <w:r>
      <w:rPr>
        <w:smallCaps/>
        <w:sz w:val="18"/>
      </w:rPr>
      <w:t xml:space="preserve">                                                                                                                                                                                                            </w:t>
    </w:r>
    <w:r>
      <w:rPr>
        <w:sz w:val="18"/>
      </w:rPr>
      <w:t>Deal No.</w:t>
    </w:r>
    <w:r>
      <w:rPr/>
      <w:t xml:space="preserve"> </w:t>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mallCaps/>
        <w:sz w:val="18"/>
      </w:rPr>
      <w:t xml:space="preserve">     </w:t>
    </w:r>
    <w:r>
      <w:rPr>
        <w:b/>
      </w:rPr>
      <w:t>DRAFT-NOT AN OFFER.  FOR DISCUSSION PURPOSES ONLY</w:t>
    </w:r>
  </w:p>
  <w:p>
    <w:pPr>
      <w:pStyle w:val="Header"/>
      <w:tabs>
        <w:tab w:val="clear" w:pos="4320"/>
        <w:tab w:val="clear" w:pos="8640"/>
        <w:tab w:val="right" w:pos="9720" w:leader="none"/>
      </w:tabs>
      <w:jc w:val="both"/>
      <w:rPr/>
    </w:pPr>
    <w:r>
      <w:rPr>
        <w:smallCaps/>
        <w:sz w:val="18"/>
      </w:rPr>
      <w:t xml:space="preserve">                                                                                                                                                                                                         </w:t>
    </w:r>
    <w:r>
      <w:rPr>
        <w:sz w:val="18"/>
      </w:rPr>
      <w:t xml:space="preserve">Deal No. </w:t>
    </w:r>
    <w:r>
      <w:rPr>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z w:val="22"/>
      </w:rPr>
      <w:t xml:space="preserve">                                                                                                                                     </w:t>
    </w:r>
    <w:r>
      <w:rPr>
        <w:sz w:val="22"/>
      </w:rPr>
      <w:t>Deal No_________</w:t>
    </w:r>
    <w:r>
      <w:rPr>
        <w:rFonts w:cs="Arial Narrow" w:ascii="Arial Narrow" w:hAnsi="Arial Narrow"/>
        <w:smallCaps/>
        <w:sz w:val="18"/>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t xml:space="preserve">   </w:t>
    </w:r>
  </w:p>
  <w:p>
    <w:pPr>
      <w:pStyle w:val="Header"/>
      <w:tabs>
        <w:tab w:val="clear" w:pos="8640"/>
        <w:tab w:val="center" w:pos="4320" w:leader="none"/>
        <w:tab w:val="right" w:pos="7200" w:leader="none"/>
        <w:tab w:val="left" w:pos="7470" w:leader="none"/>
      </w:tabs>
      <w:rPr/>
    </w:pPr>
    <w:r>
      <w:rPr/>
    </w:r>
  </w:p>
  <w:p>
    <w:pPr>
      <w:pStyle w:val="Header"/>
      <w:tabs>
        <w:tab w:val="clear" w:pos="8640"/>
        <w:tab w:val="center" w:pos="4320" w:leader="none"/>
        <w:tab w:val="right" w:pos="7200" w:leader="none"/>
        <w:tab w:val="left" w:pos="7470" w:leader="none"/>
      </w:tabs>
      <w:rPr/>
    </w:pPr>
    <w:r>
      <w:rPr/>
      <w:tab/>
    </w:r>
    <w:r>
      <w:rPr>
        <w:sz w:val="18"/>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2"/>
      <w:numFmt w:val="lowerLetter"/>
      <w:lvlText w:val="(%1)"/>
      <w:lvlJc w:val="start"/>
      <w:pPr>
        <w:tabs>
          <w:tab w:val="num" w:pos="360"/>
        </w:tabs>
        <w:ind w:start="360" w:hanging="360"/>
      </w:pPr>
      <w:rPr/>
    </w:lvl>
  </w:abstractNum>
  <w:abstractNum w:abstractNumId="4">
    <w:lvl w:ilvl="0">
      <w:start w:val="2"/>
      <w:numFmt w:val="lowerLetter"/>
      <w:lvlText w:val="(%1)"/>
      <w:lvlJc w:val="start"/>
      <w:pPr>
        <w:tabs>
          <w:tab w:val="num" w:pos="360"/>
        </w:tabs>
        <w:ind w:start="360" w:hanging="360"/>
      </w:pPr>
      <w:rPr/>
    </w:lvl>
  </w:abstractNum>
  <w:abstractNum w:abstractNumId="5">
    <w:lvl w:ilvl="0">
      <w:start w:val="6"/>
      <w:numFmt w:val="decimal"/>
      <w:lvlText w:val="%1."/>
      <w:lvlJc w:val="start"/>
      <w:pPr>
        <w:tabs>
          <w:tab w:val="num" w:pos="360"/>
        </w:tabs>
        <w:ind w:start="0" w:hanging="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outlineLvl w:val="6"/>
    </w:pPr>
    <w:rPr>
      <w:b/>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362" w:leader="none"/>
      </w:tabs>
    </w:pPr>
    <w:rPr>
      <w:rFonts w:ascii="Arial" w:hAnsi="Arial" w:cs="Arial"/>
      <w:i/>
      <w:sz w:val="20"/>
    </w:rPr>
  </w:style>
  <w:style w:type="paragraph" w:styleId="Justified">
    <w:name w:val="Justified"/>
    <w:basedOn w:val="Normal"/>
    <w:next w:val="Heading2"/>
    <w:qFormat/>
    <w:pPr>
      <w:spacing w:before="0" w:after="120"/>
      <w:jc w:val="both"/>
    </w:pPr>
    <w:rPr>
      <w:sz w:val="22"/>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2000-12-13T18:31:00Z</dcterms:created>
  <dc:creator> </dc:creator>
  <dc:description/>
  <dc:language>en-CA</dc:language>
  <cp:lastModifiedBy>dportz</cp:lastModifiedBy>
  <cp:lastPrinted>2000-12-13T17:10:00Z</cp:lastPrinted>
  <dcterms:modified xsi:type="dcterms:W3CDTF">2000-12-13T21:04:00Z</dcterms:modified>
  <cp:revision>46</cp:revision>
  <dc:subject/>
  <dc:title>11678.01</dc:title>
</cp:coreProperties>
</file>