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919480</wp:posOffset>
                </wp:positionH>
                <wp:positionV relativeFrom="paragraph">
                  <wp:posOffset>635</wp:posOffset>
                </wp:positionV>
                <wp:extent cx="1231900" cy="121983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12198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940" w:dyaOrig="192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97pt;height:96.05pt" filled="f" o:ole="">
                                  <v:imagedata r:id="rId3" o:title=""/>
                                </v:shape>
                                <o:OLEObject Type="Embed" ProgID="" ShapeID="ole_rId2" DrawAspect="Content" ObjectID="_690742081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7pt;height:96.05pt;mso-wrap-distance-left:9pt;mso-wrap-distance-right:9pt;mso-wrap-distance-top:0pt;mso-wrap-distance-bottom:0pt;margin-top:0.05pt;mso-position-vertical-relative:text;margin-left:72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940" w:dyaOrig="192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97pt;height:96.05pt" filled="f" o:ole="">
                            <v:imagedata r:id="rId5" o:title=""/>
                          </v:shape>
                          <o:OLEObject Type="Embed" ProgID="" ShapeID="ole_rId4" DrawAspect="Content" ObjectID="_1316303864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sz w:val="44"/>
        </w:rPr>
        <w:t>Pipe Line Company Texas L.P.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March 27,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Dear Customer: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/>
      </w:pPr>
      <w:r>
        <w:rPr>
          <w:sz w:val="22"/>
        </w:rPr>
        <w:t xml:space="preserve">Effective April 1, 2001, Oasis Pipe Line Company Texas L.P. will implement their new on-line nomination and confirmation system: </w:t>
      </w:r>
      <w:r>
        <w:rPr>
          <w:b/>
          <w:i/>
          <w:sz w:val="22"/>
        </w:rPr>
        <w:t>i</w:t>
        <w:noBreakHyphen/>
        <w:t>PVMS</w:t>
      </w:r>
      <w:r>
        <w:rPr>
          <w:sz w:val="22"/>
        </w:rPr>
        <w:t xml:space="preserve"> located at </w:t>
      </w:r>
      <w:hyperlink r:id="rId6">
        <w:r>
          <w:rPr>
            <w:rStyle w:val="Hyperlink"/>
            <w:sz w:val="22"/>
          </w:rPr>
          <w:t>www.oasispipeline.com</w:t>
        </w:r>
      </w:hyperlink>
      <w:r>
        <w:rPr>
          <w:sz w:val="22"/>
        </w:rPr>
        <w:t xml:space="preserve">.  With Internet access, all customers will be encouraged to use the new </w:t>
      </w:r>
      <w:r>
        <w:rPr>
          <w:b/>
          <w:i/>
          <w:sz w:val="22"/>
        </w:rPr>
        <w:t>i-PVMS</w:t>
      </w:r>
      <w:r>
        <w:rPr>
          <w:sz w:val="22"/>
        </w:rPr>
        <w:t xml:space="preserve"> system to nominate and confirm their gas.  Our goal is ultimately to eliminate all fax and email communications.</w:t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  <w:t>Beginning with April 1, 2001, Oasis will implement a new nomination and confirmation deadline process as follows: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tbl>
      <w:tblPr>
        <w:tblW w:w="88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8"/>
        <w:gridCol w:w="2984"/>
        <w:gridCol w:w="2984"/>
      </w:tblGrid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Cycle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Nominations via </w:t>
            </w:r>
            <w:r>
              <w:rPr>
                <w:b/>
                <w:i/>
                <w:sz w:val="22"/>
              </w:rPr>
              <w:t>i-PVMS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Nominations via fax or email</w:t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/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of the month nominations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8:00 a.m. 1 business day prior to the first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8:00 a.m. 2 business days prior to the first</w:t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Next Day Nominations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ab/>
              <w:t>Timely Cycle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12:00 NOON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11:00 a.m.</w:t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ab/>
              <w:t>Evening Cycle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4:00 p.m.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3:00 p.m.</w:t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Next Day Confirmations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ab/>
              <w:t>Timely Cycle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3:00 p.m.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3:00 p.m.</w:t>
            </w:r>
          </w:p>
        </w:tc>
      </w:tr>
      <w:tr>
        <w:trPr/>
        <w:tc>
          <w:tcPr>
            <w:tcW w:w="2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ab/>
              <w:t>Evening Cycle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5:00 p.m.</w:t>
            </w:r>
          </w:p>
        </w:tc>
        <w:tc>
          <w:tcPr>
            <w:tcW w:w="2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5:00 p.m.</w:t>
            </w:r>
          </w:p>
        </w:tc>
      </w:tr>
    </w:tbl>
    <w:p>
      <w:pPr>
        <w:pStyle w:val="Normal"/>
        <w:spacing w:before="80" w:after="0"/>
        <w:jc w:val="both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*  All times are in Central Clock Time</w:t>
      </w:r>
    </w:p>
    <w:p>
      <w:pPr>
        <w:pStyle w:val="Normal"/>
        <w:ind w:end="-1260"/>
        <w:jc w:val="both"/>
        <w:rPr/>
      </w:pPr>
      <w:r>
        <w:rPr>
          <w:sz w:val="22"/>
        </w:rPr>
        <w:t>** 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of the month nominations will open 10 business days prior to the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of the month.</w:t>
      </w:r>
    </w:p>
    <w:p>
      <w:pPr>
        <w:pStyle w:val="Normal"/>
        <w:ind w:end="-12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/>
      </w:pPr>
      <w:r>
        <w:rPr>
          <w:sz w:val="22"/>
        </w:rPr>
        <w:t xml:space="preserve">For the interim, all Intra Day and/or Same Day nominations/confirmations will still be processed via fax, email or telephone.  Oasis is aware that Intra Day and/or Same Day nominations are a critical link to conducting your business and is already in discussions on how this service is best conducted via </w:t>
      </w:r>
      <w:r>
        <w:rPr>
          <w:b/>
          <w:i/>
          <w:sz w:val="22"/>
        </w:rPr>
        <w:t>i</w:t>
        <w:noBreakHyphen/>
        <w:t>PVMS</w:t>
      </w:r>
      <w:r>
        <w:rPr>
          <w:sz w:val="22"/>
        </w:rPr>
        <w:t>.  Please check our bulletin board located at our home page for future developments.</w:t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/>
      </w:pPr>
      <w:r>
        <w:rPr>
          <w:sz w:val="22"/>
        </w:rPr>
        <w:t>Please visit our website to download a On-Line User/</w:t>
      </w:r>
      <w:r>
        <w:rPr>
          <w:b/>
          <w:i/>
          <w:sz w:val="22"/>
        </w:rPr>
        <w:t>i-PVMS</w:t>
      </w:r>
      <w:r>
        <w:rPr>
          <w:sz w:val="22"/>
        </w:rPr>
        <w:t xml:space="preserve"> web site password application.  These documents must be completed and returned to Oasis in order to obtain access to </w:t>
      </w:r>
      <w:r>
        <w:rPr>
          <w:b/>
          <w:i/>
          <w:sz w:val="22"/>
        </w:rPr>
        <w:t>i-PVMS</w:t>
      </w:r>
      <w:r>
        <w:rPr>
          <w:sz w:val="22"/>
        </w:rPr>
        <w:t xml:space="preserve">.  Once you have logged into </w:t>
      </w:r>
      <w:r>
        <w:rPr>
          <w:b/>
          <w:i/>
          <w:sz w:val="22"/>
        </w:rPr>
        <w:t xml:space="preserve">i-PVMS </w:t>
      </w:r>
      <w:r>
        <w:rPr>
          <w:sz w:val="22"/>
        </w:rPr>
        <w:t xml:space="preserve">at </w:t>
      </w:r>
      <w:hyperlink r:id="rId7">
        <w:r>
          <w:rPr>
            <w:rStyle w:val="Hyperlink"/>
            <w:sz w:val="22"/>
          </w:rPr>
          <w:t>www.oasispipeline.com</w:t>
        </w:r>
      </w:hyperlink>
      <w:r>
        <w:rPr>
          <w:sz w:val="22"/>
        </w:rPr>
        <w:t>, you will be able to download a set of user instructions on how to input and confirm nominations.</w:t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/>
      </w:pPr>
      <w:r>
        <w:rPr>
          <w:sz w:val="22"/>
        </w:rPr>
        <w:t xml:space="preserve">Your comments are important to us.  If you have any questions and/or comments about </w:t>
      </w:r>
      <w:r>
        <w:rPr>
          <w:b/>
          <w:i/>
          <w:sz w:val="22"/>
        </w:rPr>
        <w:t>i-PVMS</w:t>
      </w:r>
      <w:r>
        <w:rPr>
          <w:sz w:val="22"/>
        </w:rPr>
        <w:t>, please contact your Oasis representative.</w:t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end="-180"/>
        <w:jc w:val="both"/>
        <w:rPr>
          <w:sz w:val="22"/>
        </w:rPr>
      </w:pPr>
      <w:r>
        <w:rPr>
          <w:sz w:val="22"/>
        </w:rPr>
        <w:t>Oasis Pipe Line Company Texas L.P. Management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8"/>
      <w:footerReference w:type="default" r:id="rId9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12012 Wickchester Suite 540           Houston, Texas 77079          (713) 758-9800           FAX (713) 758-9835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hyperlink" Target="http://www.oasispipeline.com/" TargetMode="External"/><Relationship Id="rId7" Type="http://schemas.openxmlformats.org/officeDocument/2006/relationships/hyperlink" Target="http://www.oasispipeline.com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2001-03-29T16:40:00Z</dcterms:created>
  <dc:creator>LAN ADMINISTRATOR</dc:creator>
  <dc:description/>
  <dc:language>en-CA</dc:language>
  <cp:lastModifiedBy>mmccoy</cp:lastModifiedBy>
  <cp:lastPrinted>2001-03-02T09:35:00Z</cp:lastPrinted>
  <dcterms:modified xsi:type="dcterms:W3CDTF">2001-03-29T16:40:00Z</dcterms:modified>
  <cp:revision>2</cp:revision>
  <dc:subject/>
  <dc:title> </dc:title>
</cp:coreProperties>
</file>