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BEFORE THE</w:t>
      </w:r>
    </w:p>
    <w:p>
      <w:pPr>
        <w:pStyle w:val="Normal"/>
        <w:jc w:val="center"/>
        <w:rPr/>
      </w:pPr>
      <w:r>
        <w:rPr/>
        <w:t>PUBLIC UTILITIES COMMISSION</w:t>
      </w:r>
    </w:p>
    <w:p>
      <w:pPr>
        <w:pStyle w:val="Normal"/>
        <w:jc w:val="center"/>
        <w:rPr/>
      </w:pPr>
      <w:r>
        <w:rPr/>
        <w:t>OF THE STATE OF CALIFORNIA</w:t>
      </w:r>
    </w:p>
    <w:p>
      <w:pPr>
        <w:pStyle w:val="Normal"/>
        <w:tabs>
          <w:tab w:val="clear" w:pos="720"/>
          <w:tab w:val="left" w:pos="4410" w:leader="none"/>
        </w:tabs>
        <w:rPr/>
      </w:pPr>
      <w:r>
        <w:rPr/>
      </w:r>
    </w:p>
    <w:p>
      <w:pPr>
        <w:pStyle w:val="Normal"/>
        <w:tabs>
          <w:tab w:val="clear" w:pos="720"/>
          <w:tab w:val="left" w:pos="4410" w:leader="none"/>
        </w:tabs>
        <w:rPr/>
      </w:pPr>
      <w:r>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auto"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rPr/>
            </w:pPr>
            <w:r>
              <w:rPr/>
              <w:tab/>
              <w:t>U 39-G</w:t>
            </w:r>
          </w:p>
          <w:p>
            <w:pPr>
              <w:pStyle w:val="Normal"/>
              <w:tabs>
                <w:tab w:val="clear" w:pos="720"/>
                <w:tab w:val="left" w:pos="4410" w:leader="none"/>
              </w:tabs>
              <w:rPr/>
            </w:pPr>
            <w:r>
              <w:rPr/>
            </w:r>
          </w:p>
        </w:tc>
        <w:tc>
          <w:tcPr>
            <w:tcW w:w="270" w:type="dxa"/>
            <w:tcBorders/>
          </w:tcPr>
          <w:p>
            <w:pPr>
              <w:pStyle w:val="Normal"/>
              <w:tabs>
                <w:tab w:val="clear" w:pos="720"/>
                <w:tab w:val="left" w:pos="4410" w:leader="none"/>
              </w:tabs>
              <w:snapToGrid w:val="false"/>
              <w:rPr/>
            </w:pPr>
            <w:r>
              <w:rPr/>
            </w:r>
          </w:p>
        </w:tc>
        <w:tc>
          <w:tcPr>
            <w:tcW w:w="3528" w:type="dxa"/>
            <w:tcBorders/>
          </w:tcPr>
          <w:p>
            <w:pPr>
              <w:pStyle w:val="Normal"/>
              <w:tabs>
                <w:tab w:val="clear" w:pos="720"/>
                <w:tab w:val="left" w:pos="4410" w:leader="none"/>
              </w:tabs>
              <w:snapToGrid w:val="false"/>
              <w:rPr/>
            </w:pPr>
            <w:r>
              <w:rPr/>
            </w:r>
          </w:p>
          <w:p>
            <w:pPr>
              <w:pStyle w:val="Normal"/>
              <w:tabs>
                <w:tab w:val="clear" w:pos="720"/>
                <w:tab w:val="left" w:pos="4410" w:leader="none"/>
              </w:tabs>
              <w:rPr/>
            </w:pPr>
            <w:r>
              <w:rPr/>
            </w:r>
          </w:p>
          <w:p>
            <w:pPr>
              <w:pStyle w:val="Normal"/>
              <w:tabs>
                <w:tab w:val="clear" w:pos="720"/>
                <w:tab w:val="left" w:pos="4410" w:leader="none"/>
              </w:tabs>
              <w:rPr/>
            </w:pPr>
            <w:r>
              <w:rPr/>
              <w:t>I.99-07-003</w:t>
            </w:r>
          </w:p>
          <w:p>
            <w:pPr>
              <w:pStyle w:val="Normal"/>
              <w:tabs>
                <w:tab w:val="clear" w:pos="720"/>
                <w:tab w:val="left" w:pos="4410" w:leader="none"/>
              </w:tabs>
              <w:rPr/>
            </w:pPr>
            <w:r>
              <w:rPr/>
              <w:t>(Filed July 8, 1999)</w:t>
            </w:r>
          </w:p>
        </w:tc>
      </w:tr>
    </w:tbl>
    <w:p>
      <w:pPr>
        <w:pStyle w:val="Normal"/>
        <w:tabs>
          <w:tab w:val="clear" w:pos="720"/>
          <w:tab w:val="left" w:pos="4410" w:leader="none"/>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spacing w:lineRule="auto" w:line="240"/>
        <w:jc w:val="center"/>
        <w:rPr>
          <w:b/>
          <w:bCs/>
        </w:rPr>
      </w:pPr>
      <w:r>
        <w:rPr>
          <w:b/>
          <w:bCs/>
        </w:rPr>
      </w:r>
    </w:p>
    <w:p>
      <w:pPr>
        <w:pStyle w:val="Normal"/>
        <w:spacing w:lineRule="auto" w:line="240"/>
        <w:jc w:val="center"/>
        <w:rPr>
          <w:b/>
          <w:bCs/>
        </w:rPr>
      </w:pPr>
      <w:r>
        <w:rPr>
          <w:b/>
          <w:bCs/>
        </w:rPr>
      </w:r>
    </w:p>
    <w:p>
      <w:pPr>
        <w:pStyle w:val="Normal"/>
        <w:spacing w:lineRule="auto" w:line="240"/>
        <w:jc w:val="center"/>
        <w:rPr>
          <w:b/>
          <w:bCs/>
        </w:rPr>
      </w:pPr>
      <w:r>
        <w:rPr>
          <w:b/>
          <w:bCs/>
        </w:rPr>
        <w:t>OPENING BRIEF OF</w:t>
      </w:r>
    </w:p>
    <w:p>
      <w:pPr>
        <w:pStyle w:val="Normal"/>
        <w:spacing w:lineRule="auto" w:line="240"/>
        <w:jc w:val="center"/>
        <w:rPr>
          <w:b/>
          <w:bCs/>
        </w:rPr>
      </w:pPr>
      <w:r>
        <w:rPr>
          <w:b/>
          <w:bCs/>
        </w:rPr>
        <w:t xml:space="preserve">PACIFIC GAS AND ELECTRIC COMPANY </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ind w:firstLine="360" w:start="3600" w:end="0"/>
        <w:rPr/>
      </w:pPr>
      <w:r>
        <w:rPr/>
      </w:r>
    </w:p>
    <w:p>
      <w:pPr>
        <w:pStyle w:val="Normal"/>
        <w:spacing w:lineRule="auto" w:line="240"/>
        <w:ind w:firstLine="360" w:start="3600" w:end="0"/>
        <w:rPr/>
      </w:pPr>
      <w:r>
        <w:rPr/>
        <w:t>Randall J. Litteneker</w:t>
      </w:r>
    </w:p>
    <w:p>
      <w:pPr>
        <w:pStyle w:val="Normal"/>
        <w:spacing w:lineRule="auto" w:line="240"/>
        <w:ind w:firstLine="360" w:start="3600" w:end="0"/>
        <w:rPr/>
      </w:pPr>
      <w:r>
        <w:rPr/>
        <w:t>Edward V. Kurz</w:t>
      </w:r>
    </w:p>
    <w:p>
      <w:pPr>
        <w:pStyle w:val="Normal"/>
        <w:spacing w:lineRule="auto" w:line="240"/>
        <w:ind w:firstLine="360" w:start="3600" w:end="0"/>
        <w:rPr/>
      </w:pPr>
      <w:r>
        <w:rPr/>
        <w:t>Law Department</w:t>
      </w:r>
    </w:p>
    <w:p>
      <w:pPr>
        <w:pStyle w:val="Normal"/>
        <w:spacing w:lineRule="auto" w:line="240"/>
        <w:ind w:firstLine="360" w:start="3600" w:end="0"/>
        <w:rPr/>
      </w:pPr>
      <w:r>
        <w:rPr/>
        <w:t>PACIFIC GAS AND ELECTRIC COMPANY</w:t>
      </w:r>
    </w:p>
    <w:p>
      <w:pPr>
        <w:pStyle w:val="Normal"/>
        <w:spacing w:lineRule="auto" w:line="240"/>
        <w:ind w:firstLine="360" w:start="3600" w:end="0"/>
        <w:rPr/>
      </w:pPr>
      <w:r>
        <w:rPr/>
        <w:t>Post Office Box 7442</w:t>
      </w:r>
    </w:p>
    <w:p>
      <w:pPr>
        <w:pStyle w:val="Normal"/>
        <w:spacing w:lineRule="auto" w:line="240"/>
        <w:ind w:firstLine="360" w:start="3600" w:end="0"/>
        <w:rPr/>
      </w:pPr>
      <w:r>
        <w:rPr/>
        <w:t>San Francisco, California 94120</w:t>
      </w:r>
    </w:p>
    <w:p>
      <w:pPr>
        <w:pStyle w:val="Normal"/>
        <w:spacing w:lineRule="auto" w:line="240"/>
        <w:ind w:firstLine="360" w:start="3600" w:end="0"/>
        <w:rPr/>
      </w:pPr>
      <w:r>
        <w:rPr/>
        <w:t>Telephone:  (415) 973-6669</w:t>
      </w:r>
    </w:p>
    <w:p>
      <w:pPr>
        <w:pStyle w:val="Normal"/>
        <w:spacing w:lineRule="auto" w:line="240"/>
        <w:ind w:firstLine="360" w:start="3600" w:end="0"/>
        <w:rPr/>
      </w:pPr>
      <w:r>
        <w:rPr/>
        <w:t>Fax:  (415) 973-5520</w:t>
      </w:r>
    </w:p>
    <w:p>
      <w:pPr>
        <w:pStyle w:val="Normal"/>
        <w:spacing w:lineRule="auto" w:line="240"/>
        <w:ind w:firstLine="360" w:start="3600" w:end="0"/>
        <w:rPr/>
      </w:pPr>
      <w:r>
        <w:rPr/>
      </w:r>
    </w:p>
    <w:p>
      <w:pPr>
        <w:pStyle w:val="Normal"/>
        <w:spacing w:lineRule="auto" w:line="240"/>
        <w:ind w:firstLine="360" w:start="3600" w:end="0"/>
        <w:rPr/>
      </w:pPr>
      <w:r>
        <w:rPr/>
        <w:t>Attorneys for</w:t>
      </w:r>
    </w:p>
    <w:p>
      <w:pPr>
        <w:pStyle w:val="Normal"/>
        <w:spacing w:lineRule="auto" w:line="240"/>
        <w:ind w:firstLine="360" w:start="3600" w:end="0"/>
        <w:rPr/>
      </w:pPr>
      <w:r>
        <w:rPr/>
        <w:t>PACIFIC GAS AND ELECTRIC COMPANY</w:t>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576" w:bottom="1008"/>
          <w:pgNumType w:start="1" w:fmt="decimal"/>
          <w:formProt w:val="false"/>
          <w:titlePg/>
          <w:textDirection w:val="lrTb"/>
        </w:sectPr>
        <w:pStyle w:val="Normal"/>
        <w:spacing w:lineRule="exact" w:line="249"/>
        <w:rPr/>
      </w:pPr>
      <w:r>
        <w:rPr/>
        <w:t>July 10, 2000</w:t>
      </w:r>
    </w:p>
    <w:p>
      <w:pPr>
        <w:pStyle w:val="Normal"/>
        <w:jc w:val="center"/>
        <w:rPr/>
      </w:pPr>
      <w:r>
        <w:rPr/>
        <w:t>BEFORE THE PUBLIC UTILITIES COMMISSION</w:t>
      </w:r>
    </w:p>
    <w:p>
      <w:pPr>
        <w:pStyle w:val="Normal"/>
        <w:spacing w:before="0" w:after="240"/>
        <w:jc w:val="center"/>
        <w:rPr/>
      </w:pPr>
      <w:r>
        <w:rPr/>
        <w:t>OF THE STATE OF CALIFORNIA</w:t>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auto"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rPr/>
            </w:pPr>
            <w:r>
              <w:rPr/>
              <w:tab/>
              <w:t>U 39-G</w:t>
            </w:r>
          </w:p>
          <w:p>
            <w:pPr>
              <w:pStyle w:val="Normal"/>
              <w:tabs>
                <w:tab w:val="clear" w:pos="720"/>
                <w:tab w:val="left" w:pos="4410" w:leader="none"/>
              </w:tabs>
              <w:rPr/>
            </w:pPr>
            <w:r>
              <w:rPr/>
            </w:r>
          </w:p>
        </w:tc>
        <w:tc>
          <w:tcPr>
            <w:tcW w:w="270" w:type="dxa"/>
            <w:tcBorders/>
          </w:tcPr>
          <w:p>
            <w:pPr>
              <w:pStyle w:val="Normal"/>
              <w:tabs>
                <w:tab w:val="clear" w:pos="720"/>
                <w:tab w:val="left" w:pos="4410" w:leader="none"/>
              </w:tabs>
              <w:snapToGrid w:val="false"/>
              <w:rPr/>
            </w:pPr>
            <w:r>
              <w:rPr/>
            </w:r>
          </w:p>
        </w:tc>
        <w:tc>
          <w:tcPr>
            <w:tcW w:w="3528" w:type="dxa"/>
            <w:tcBorders/>
          </w:tcPr>
          <w:p>
            <w:pPr>
              <w:pStyle w:val="Normal"/>
              <w:tabs>
                <w:tab w:val="clear" w:pos="720"/>
                <w:tab w:val="left" w:pos="4410" w:leader="none"/>
              </w:tabs>
              <w:snapToGrid w:val="false"/>
              <w:rPr/>
            </w:pPr>
            <w:r>
              <w:rPr/>
            </w:r>
          </w:p>
          <w:p>
            <w:pPr>
              <w:pStyle w:val="Normal"/>
              <w:tabs>
                <w:tab w:val="clear" w:pos="720"/>
                <w:tab w:val="left" w:pos="4410" w:leader="none"/>
              </w:tabs>
              <w:rPr/>
            </w:pPr>
            <w:r>
              <w:rPr/>
            </w:r>
          </w:p>
          <w:p>
            <w:pPr>
              <w:pStyle w:val="Normal"/>
              <w:tabs>
                <w:tab w:val="clear" w:pos="720"/>
                <w:tab w:val="left" w:pos="4410" w:leader="none"/>
              </w:tabs>
              <w:rPr/>
            </w:pPr>
            <w:r>
              <w:rPr/>
              <w:t>I.99-07-003</w:t>
            </w:r>
          </w:p>
          <w:p>
            <w:pPr>
              <w:pStyle w:val="Normal"/>
              <w:tabs>
                <w:tab w:val="clear" w:pos="720"/>
                <w:tab w:val="left" w:pos="4410" w:leader="none"/>
              </w:tabs>
              <w:rPr/>
            </w:pPr>
            <w:r>
              <w:rPr/>
              <w:t>(Filed July 8, 1999)</w:t>
            </w:r>
          </w:p>
        </w:tc>
      </w:tr>
    </w:tbl>
    <w:p>
      <w:pPr>
        <w:pStyle w:val="Normal"/>
        <w:spacing w:lineRule="auto" w:line="240" w:before="180" w:after="0"/>
        <w:jc w:val="center"/>
        <w:rPr>
          <w:b/>
          <w:bCs/>
        </w:rPr>
      </w:pPr>
      <w:r>
        <w:rPr>
          <w:b/>
          <w:bCs/>
        </w:rPr>
        <w:t>OPENING BRIEF OF</w:t>
      </w:r>
    </w:p>
    <w:p>
      <w:pPr>
        <w:pStyle w:val="Normal"/>
        <w:spacing w:lineRule="auto" w:line="240"/>
        <w:jc w:val="center"/>
        <w:rPr>
          <w:b/>
          <w:bCs/>
        </w:rPr>
      </w:pPr>
      <w:r>
        <w:rPr>
          <w:b/>
          <w:bCs/>
        </w:rPr>
        <w:t xml:space="preserve">PACIFIC GAS AND ELECTRIC COMPANY </w:t>
      </w:r>
      <w:r>
        <w:rPr>
          <w:rStyle w:val="FootnoteCharacters"/>
          <w:rStyle w:val="FootnoteReference"/>
          <w:b/>
          <w:bCs/>
          <w:u w:val="single"/>
        </w:rPr>
        <w:footnoteReference w:id="2"/>
      </w:r>
      <w:r>
        <w:rPr>
          <w:vertAlign w:val="superscript"/>
        </w:rPr>
        <w:t>/</w:t>
      </w:r>
      <w:r>
        <w:rPr/>
        <w:t xml:space="preserve"> </w:t>
      </w:r>
    </w:p>
    <w:p>
      <w:pPr>
        <w:pStyle w:val="Heading1"/>
        <w:spacing w:before="180" w:after="0"/>
        <w:rPr/>
      </w:pPr>
      <w:r>
        <w:rPr/>
        <w:t>I.</w:t>
        <w:tab/>
        <w:t>EXECUTIVE SUMMARY.</w:t>
      </w:r>
    </w:p>
    <w:p>
      <w:pPr>
        <w:pStyle w:val="BodyText"/>
        <w:rPr/>
      </w:pPr>
      <w:r>
        <w:rPr/>
        <w:t>As a signatory to the “Interim Settlement Enhancing and Enabling Competitive Markets on the SoCalGas System,” filed December 27, 1999 (Interim Settlement), Pacific Gas and Electric Company (PG&amp;E) continues to support that settlement because it eliminates the current “window” procedures</w:t>
      </w:r>
      <w:r>
        <w:rPr>
          <w:rStyle w:val="FootnoteCharacters"/>
          <w:rStyle w:val="FootnoteReference"/>
          <w:u w:val="single"/>
        </w:rPr>
        <w:footnoteReference w:id="3"/>
      </w:r>
      <w:r>
        <w:rPr>
          <w:vertAlign w:val="superscript"/>
        </w:rPr>
        <w:t>/</w:t>
      </w:r>
      <w:r>
        <w:rPr/>
        <w:t xml:space="preserve"> that disadvantage customers of the Southern California Gas Company (SoCalGas).  Moreover, the Interim Settlement establishes Hector Road as a formal receipt point and implements an Operational Flow Order scheme to replace SoCalGas’ existing “over</w:t>
        <w:noBreakHyphen/>
        <w:t>nomination event” procedures.  All of these are significant improvements and the Commission should adopt them.</w:t>
      </w:r>
    </w:p>
    <w:p>
      <w:pPr>
        <w:pStyle w:val="BodyText"/>
        <w:rPr/>
      </w:pPr>
      <w:r>
        <w:rPr/>
        <w:t>PG&amp;E takes no position on “Post Interim Settlement” (other than to support the provisions of the Interim Settlement that this settlement adopts) or the “Comprehensive Settlement,”</w:t>
      </w:r>
      <w:r>
        <w:rPr>
          <w:rStyle w:val="FootnoteCharacters"/>
          <w:rStyle w:val="FootnoteReference"/>
          <w:u w:val="single"/>
        </w:rPr>
        <w:footnoteReference w:id="4"/>
      </w:r>
      <w:r>
        <w:rPr>
          <w:vertAlign w:val="superscript"/>
        </w:rPr>
        <w:t>/</w:t>
      </w:r>
      <w:r>
        <w:rPr/>
        <w:t xml:space="preserve"> but it does offer an improvement on the Comprehensive Settlement’s allocation of receipt point capacity at Wheeler Ridge.  PG&amp;E’s proposal is a market</w:t>
        <w:noBreakHyphen/>
        <w:t>determined allocation of primary rights that will increase the transportation options of shippers moving gas through the Wheeler Ridge complex and thereby benefit shippers and customers.</w:t>
      </w:r>
    </w:p>
    <w:p>
      <w:pPr>
        <w:pStyle w:val="BodyText"/>
        <w:rPr/>
      </w:pPr>
      <w:r>
        <w:rPr/>
        <w:t>The balance of this brief addresses the Comprehensive Settlement’s proposed receipt point capacity allocation at Wheeler Ridge and how that proposal can and should be improved.</w:t>
      </w:r>
    </w:p>
    <w:p>
      <w:pPr>
        <w:pStyle w:val="Heading1"/>
        <w:rPr/>
      </w:pPr>
      <w:r>
        <w:rPr/>
        <w:t>II.</w:t>
        <w:tab/>
        <w:t>PG&amp;E’S IMPROVEMENTS TO THE PROPOSED RECEIPT POINT ALLOCATION SCHEME AT WHEELER RIDGE WILL INCREASE CUSTOMERS’ TRANSPORTATION OPTIONS AND MAXIMIZE THE AVAILABLE FIRM CAPACITY IN A FAIR MANNER.</w:t>
      </w:r>
    </w:p>
    <w:p>
      <w:pPr>
        <w:pStyle w:val="BodyText"/>
        <w:rPr/>
      </w:pPr>
      <w:r>
        <w:rPr/>
        <w:t>PG&amp;E appreciates the tremendous effort required to forge an agreement like the Comprehensive Settlement, which attempts to address many complex and sometimes contentious issues.  PG&amp;E does not know how much time and effort was spent developing the capacity allocation scheme proposed for the Wheeler Ridge receipt point nor is PG&amp;E aware of the parochial interests, if any, that may have influenced the final result.  If, however, one were devising an allocation scheme informed by fairness and the Commission’s goal of “clearing obstacles to the competitive offering of gas . . . transmission . . . services for all customers,”</w:t>
      </w:r>
      <w:r>
        <w:rPr>
          <w:rStyle w:val="FootnoteCharacters"/>
          <w:rStyle w:val="FootnoteReference"/>
          <w:u w:val="single"/>
        </w:rPr>
        <w:footnoteReference w:id="5"/>
      </w:r>
      <w:r>
        <w:rPr>
          <w:vertAlign w:val="superscript"/>
        </w:rPr>
        <w:t>/</w:t>
      </w:r>
      <w:r>
        <w:rPr/>
        <w:t xml:space="preserve"> the Comprehensive Settlement’s treatment of receipt point capacity at Wheeler Ridge is </w:t>
      </w:r>
      <w:r>
        <w:rPr>
          <w:u w:val="single"/>
        </w:rPr>
        <w:t>not</w:t>
      </w:r>
      <w:r>
        <w:rPr/>
        <w:t xml:space="preserve"> the best way to achieve that goal.  As discussed below, the proposed allocation scheme unnecessarily restricts receipt point access available to shippers moving gas through Wheeler Ridge from the PG&amp;E and Occidental Petroleum Company (Oxy) interconnection points.  PG&amp;E’s suggested improvement to the proposed scheme would eliminate this unnecessary restriction without any countervailing cost or harm.</w:t>
      </w:r>
    </w:p>
    <w:p>
      <w:pPr>
        <w:pStyle w:val="Heading2"/>
        <w:rPr/>
      </w:pPr>
      <w:r>
        <w:rPr/>
        <w:t>A.</w:t>
        <w:tab/>
        <w:t>The Comprehensive Settlement’s Wheeler Ridge Allocation Scheme Is Unnecessarily Restrictive And Discriminatory.</w:t>
      </w:r>
    </w:p>
    <w:p>
      <w:pPr>
        <w:pStyle w:val="BodyText"/>
        <w:rPr/>
      </w:pPr>
      <w:r>
        <w:rPr/>
        <w:t>The Comprehensive Settlement states that the total firm capacity at the Wheeler Ridge receipt point is 680 MMcf/day.</w:t>
      </w:r>
      <w:r>
        <w:rPr>
          <w:rStyle w:val="FootnoteCharacters"/>
          <w:rStyle w:val="FootnoteReference"/>
          <w:u w:val="single"/>
        </w:rPr>
        <w:footnoteReference w:id="6"/>
      </w:r>
      <w:r>
        <w:rPr>
          <w:vertAlign w:val="superscript"/>
        </w:rPr>
        <w:t>/</w:t>
      </w:r>
      <w:r>
        <w:rPr/>
        <w:t xml:space="preserve">  Additionally, the amount of pipeline capacity entering the Wheeler Ridge complex exceeds the 680 MMcf/d of firm take</w:t>
        <w:noBreakHyphen/>
        <w:t>away capacity:  520 MMcf/d from Line 225 to the north,</w:t>
      </w:r>
      <w:r>
        <w:rPr>
          <w:rStyle w:val="FootnoteCharacters"/>
          <w:rStyle w:val="FootnoteReference"/>
          <w:u w:val="single"/>
        </w:rPr>
        <w:footnoteReference w:id="7"/>
      </w:r>
      <w:r>
        <w:rPr>
          <w:vertAlign w:val="superscript"/>
        </w:rPr>
        <w:t>/</w:t>
      </w:r>
      <w:r>
        <w:rPr/>
        <w:t xml:space="preserve"> which in turn connects to PG&amp;E and Oxy, and depending, apparently, on how the meters are configured, between 500 MMcf/d and 680 MMcf/d or more from the Kern/Mojave pipeline.</w:t>
      </w:r>
      <w:r>
        <w:rPr>
          <w:rStyle w:val="FootnoteCharacters"/>
          <w:rStyle w:val="FootnoteReference"/>
          <w:u w:val="single"/>
        </w:rPr>
        <w:footnoteReference w:id="8"/>
      </w:r>
      <w:r>
        <w:rPr>
          <w:vertAlign w:val="superscript"/>
        </w:rPr>
        <w:t>/</w:t>
      </w:r>
      <w:r>
        <w:rPr/>
        <w:t xml:space="preserve"> </w:t>
      </w:r>
    </w:p>
    <w:p>
      <w:pPr>
        <w:pStyle w:val="BodyText"/>
        <w:rPr/>
      </w:pPr>
      <w:r>
        <w:rPr/>
        <w:t>Given these facts, an efficient receipt point allocation scheme should attempt to maximize use of the 680 MMcf/d of firm capacity at Wheeler Ridge and fairly allocate that capacity among upstream shippers.   The Comprehensive Settlement fails to achieve these goals.</w:t>
      </w:r>
    </w:p>
    <w:p>
      <w:pPr>
        <w:pStyle w:val="BodyText"/>
        <w:rPr/>
      </w:pPr>
      <w:r>
        <w:rPr/>
        <w:t>The Comprehensive Settlement separates the 680 MMcf/d of firm receipt point capacity into two distinct packages:  Wheeler Ridge North and Wheeler Ridge South.</w:t>
      </w:r>
      <w:r>
        <w:rPr>
          <w:rStyle w:val="FootnoteCharacters"/>
          <w:rStyle w:val="FootnoteReference"/>
          <w:u w:val="single"/>
        </w:rPr>
        <w:footnoteReference w:id="9"/>
      </w:r>
      <w:r>
        <w:rPr>
          <w:vertAlign w:val="superscript"/>
        </w:rPr>
        <w:t>/</w:t>
      </w:r>
      <w:r>
        <w:rPr/>
        <w:t xml:space="preserve">  Although the terminology suggests that Wheeler Ridge North and South describe different physical locations, they do not; they are merely different packages of contract rights.  Why the Comprehensive Settlement uses this metaphysical approach rather than conform the packages to physical interconnection points of the PG&amp;E/Oxy and Kern/Mojave pipelines – as PG&amp;E’s proposal does – is unexplained.  The only rationale proffered is that “[i]f total deliveries greater than 520 MMcf/d are taken in the north from PG&amp;E or Oxy . . . the total capacity of Wheeler Ridge will drop below 680 MMcf/d.”</w:t>
      </w:r>
      <w:r>
        <w:rPr>
          <w:rStyle w:val="FootnoteCharacters"/>
          <w:rStyle w:val="FootnoteReference"/>
          <w:u w:val="single"/>
        </w:rPr>
        <w:footnoteReference w:id="10"/>
      </w:r>
      <w:r>
        <w:rPr>
          <w:vertAlign w:val="superscript"/>
        </w:rPr>
        <w:t>/</w:t>
      </w:r>
      <w:r>
        <w:rPr/>
        <w:t xml:space="preserve">  The logical response to this fact is to limit firm deliveries from the PG&amp;E and Oxy interconnection points to no more than 520 MMcf/d, which both the Comprehensive Settlement and PG&amp;E’s proposal do.  The Comprehensive Settlement goes on, however, to give holders of Wheeler Ridge North capacity rights the ability to move gas through Wheeler Ridge on a primary firm basis not only from the PG&amp;E and Oxy interconnections, but from the Kern/Mojave pipeline as well.  </w:t>
      </w:r>
    </w:p>
    <w:p>
      <w:pPr>
        <w:pStyle w:val="BodyText"/>
        <w:rPr/>
      </w:pPr>
      <w:r>
        <w:rPr/>
        <w:t>The Comprehensive Settlement does not explain why both packages – Wheeler Ridge North and South – give primary access rights to shippers using Kern/Mojave, while only Wheeler Ridge North gives primary access rights to shippers using the PG&amp;E or Oxy interconnections.  Stated differently, the Comprehensive Settlement does not explain why shippers moving gas through the PG&amp;E or Oxy interconnections using Wheeler Ridge North capacity rights must share the 520 MMcf/d of primary firm capacity rights in this package with shippers using Kern/Mojave capacity.  On its face, the proposed scheme favors the use of Kern/Mojave to the distinct detriment of shippers attempting to move gas from the PG&amp;E and Oxy interconnection points.  Moreover, this allocation scheme obviously and unnecessarily creates two packages of rights of disparate value.  As PG&amp;E witness Hall explained:</w:t>
      </w:r>
    </w:p>
    <w:p>
      <w:pPr>
        <w:pStyle w:val="indentquote"/>
        <w:rPr/>
      </w:pPr>
      <w:r>
        <w:rPr/>
      </w:r>
    </w:p>
    <w:p>
      <w:pPr>
        <w:pStyle w:val="indentquote"/>
        <w:rPr/>
      </w:pPr>
      <w:r>
        <w:rPr/>
        <w:t>The WR</w:t>
        <w:noBreakHyphen/>
        <w:t>North package would have greater flexibility than the WR</w:t>
        <w:noBreakHyphen/>
        <w:t>South package because the former would offer the primary rights at both the PG&amp;E/Occidental and Kern/Mojave interconnection receipt points whereas the latter would offer primary rights only at the Kern</w:t>
        <w:noBreakHyphen/>
        <w:t>Mojave interconnection.  This would provide WR</w:t>
        <w:noBreakHyphen/>
        <w:t>North contracts with greater value in the secondary market (and therefore greater value overall.)</w:t>
      </w:r>
    </w:p>
    <w:p>
      <w:pPr>
        <w:pStyle w:val="indentquote"/>
        <w:rPr/>
      </w:pPr>
      <w:r>
        <w:rPr/>
      </w:r>
    </w:p>
    <w:p>
      <w:pPr>
        <w:pStyle w:val="indentquote"/>
        <w:rPr/>
      </w:pPr>
      <w:r>
        <w:rPr/>
        <w:t>This would result in a market distortion that would effectively limit the primary firm receipt point rights at the PG&amp;E/Occidental interconnection to an amount less than the physically available 520 MMcf/d capacity.  This would unnecessarily reduce the ability of southern California gas customers to access Canadian gas supplies when this gas is competitively priced.</w:t>
      </w:r>
      <w:r>
        <w:rPr>
          <w:rStyle w:val="FootnoteCharacters"/>
          <w:rStyle w:val="FootnoteReference"/>
          <w:u w:val="single"/>
        </w:rPr>
        <w:footnoteReference w:id="11"/>
      </w:r>
      <w:r>
        <w:rPr>
          <w:vertAlign w:val="superscript"/>
        </w:rPr>
        <w:t>/</w:t>
      </w:r>
      <w:r>
        <w:rPr/>
        <w:t xml:space="preserve"> </w:t>
      </w:r>
    </w:p>
    <w:p>
      <w:pPr>
        <w:pStyle w:val="BodyText"/>
        <w:rPr/>
      </w:pPr>
      <w:r>
        <w:rPr/>
        <w:t>Mr. Hall went on to explain the consequences of the market distortion the Comprehensive Settlement’s proposed receipt point allocation scheme would create:</w:t>
      </w:r>
    </w:p>
    <w:p>
      <w:pPr>
        <w:pStyle w:val="indentquote"/>
        <w:rPr/>
      </w:pPr>
      <w:r>
        <w:rPr/>
      </w:r>
    </w:p>
    <w:p>
      <w:pPr>
        <w:pStyle w:val="indentquote"/>
        <w:rPr/>
      </w:pPr>
      <w:r>
        <w:rPr/>
        <w:t>[I]f shippers that deliver gas from the Kern/Mojave system contract for 300 MMcf/d of WR</w:t>
        <w:noBreakHyphen/>
        <w:t>North capacity then, given SocalGas’ (sic) receipt point capacity of 680 MMcf/d, in theory at least, 380 MMcf/d of primary firm capacity should be available at Wheeler Ridge.  However, under these circumstances, the Comprehensive Settlement would make only 220 MMcf/d of primary firm capacity available to the remaining market participants accessing the PG&amp;E/Occidental interconnection.  This would limit the ability of end</w:t>
        <w:noBreakHyphen/>
        <w:t>users in SoCalGas’s service territory to access Canadian gas and decrease off</w:t>
        <w:noBreakHyphen/>
        <w:t>system through put on the PG&amp;E system.</w:t>
      </w:r>
    </w:p>
    <w:p>
      <w:pPr>
        <w:pStyle w:val="indentquote"/>
        <w:rPr/>
      </w:pPr>
      <w:r>
        <w:rPr/>
      </w:r>
    </w:p>
    <w:p>
      <w:pPr>
        <w:pStyle w:val="indentquote"/>
        <w:rPr/>
      </w:pPr>
      <w:r>
        <w:rPr/>
        <w:t>Although the remaining 160 MMcf/d (680</w:t>
        <w:noBreakHyphen/>
        <w:t>520 MMcf/d) of firm Wheeler Ridge receipt point rights might access the PG&amp;E interconnection on a secondary basis, such access would be subject to bumping by primary firm service.  Thus, shippers and customers on SoCalGas’ system would be reluctant to subscribe to this capacity (and capacity on upstream pipelines) to bring Canadian gas to southern California.  This uncertainty problem is similar to the problems created by the current “windowing” procedure.</w:t>
      </w:r>
      <w:r>
        <w:rPr>
          <w:rStyle w:val="FootnoteCharacters"/>
          <w:rStyle w:val="FootnoteReference"/>
          <w:u w:val="single"/>
        </w:rPr>
        <w:footnoteReference w:id="12"/>
      </w:r>
      <w:r>
        <w:rPr>
          <w:vertAlign w:val="superscript"/>
        </w:rPr>
        <w:t>/</w:t>
      </w:r>
      <w:r>
        <w:rPr/>
        <w:t xml:space="preserve"> </w:t>
      </w:r>
    </w:p>
    <w:p>
      <w:pPr>
        <w:pStyle w:val="BodyText"/>
        <w:spacing w:before="240" w:after="0"/>
        <w:rPr/>
      </w:pPr>
      <w:r>
        <w:rPr/>
        <w:t>SoCalGas witness Lorenz confirmed Mr. Hall’s conclusions using a different hypothetical.</w:t>
      </w:r>
      <w:r>
        <w:rPr>
          <w:rStyle w:val="FootnoteCharacters"/>
          <w:rStyle w:val="FootnoteReference"/>
          <w:u w:val="single"/>
        </w:rPr>
        <w:footnoteReference w:id="13"/>
      </w:r>
      <w:r>
        <w:rPr>
          <w:vertAlign w:val="superscript"/>
        </w:rPr>
        <w:t>/</w:t>
      </w:r>
      <w:r>
        <w:rPr/>
        <w:t xml:space="preserve">  To remedy this anomalous result, PG&amp;E proposes the simple, but effective modification discussed in the next section.</w:t>
      </w:r>
    </w:p>
    <w:p>
      <w:pPr>
        <w:pStyle w:val="Heading2"/>
        <w:keepNext w:val="false"/>
        <w:keepLines w:val="false"/>
        <w:spacing w:before="360" w:after="0"/>
        <w:rPr/>
      </w:pPr>
      <w:r>
        <w:rPr/>
        <w:t>B.</w:t>
        <w:tab/>
        <w:t>PG&amp;E’s Proposal Cures The Deficiencies In The Comprehensive Settlement’s Wheeler Ridge Allocation Scheme.</w:t>
      </w:r>
    </w:p>
    <w:p>
      <w:pPr>
        <w:pStyle w:val="BodyText"/>
        <w:spacing w:before="120" w:after="0"/>
        <w:rPr/>
      </w:pPr>
      <w:r>
        <w:rPr/>
        <w:t>In essence, the PG&amp;E proposal for receipt point capacity allocation at Wheeler Ridge differs from the Comprehensive Settlement’s proposal by recognizing and maximizing the use of the full physical capabilities of the facilities entering into the Wheeler Ridge complex from Line 225 to the north and the Kern/Mojave pipeline.  Under PG&amp;E’s proposal, the entire 520 MMcf/d of firm capacity on Line 225, as well as the full capacity available from the Kern/Mojave pipeline, would be available  to market participants.</w:t>
      </w:r>
      <w:r>
        <w:rPr>
          <w:rStyle w:val="FootnoteCharacters"/>
          <w:rStyle w:val="FootnoteReference"/>
          <w:u w:val="single"/>
        </w:rPr>
        <w:footnoteReference w:id="14"/>
      </w:r>
      <w:r>
        <w:rPr>
          <w:vertAlign w:val="superscript"/>
        </w:rPr>
        <w:t>/</w:t>
      </w:r>
      <w:r>
        <w:rPr/>
        <w:t xml:space="preserve">  Customers and shippers could contract with SoCalGas for Wheeler Ridge firm capacity and specify either PG&amp;E/Oxy or Kern/Mojave as their primary receipt point.  Moreover, these primary contract rights would be available up to the full firm capacities of the PG&amp;E/Oxy and Kern/Mojave interconnections.  PG&amp;E’s proposal recognizes the physical limitation of only 680 MMcf/d of take</w:t>
        <w:noBreakHyphen/>
        <w:t xml:space="preserve">away capacity of Wheeler Ridge:  it specifies that the </w:t>
      </w:r>
      <w:r>
        <w:rPr>
          <w:u w:val="single"/>
        </w:rPr>
        <w:t>sum of the primary</w:t>
      </w:r>
      <w:r>
        <w:rPr/>
        <w:t xml:space="preserve"> firm capacity sold at Wheeler Ridge North (i.e., Line 225 from the PG&amp;E and Oxy interconnections) and at Wheeler Ridge South (the Kern/Mojave interconnection) may not exceed 680 MMcf/d.</w:t>
      </w:r>
      <w:r>
        <w:rPr>
          <w:rStyle w:val="FootnoteCharacters"/>
          <w:rStyle w:val="FootnoteReference"/>
          <w:u w:val="single"/>
        </w:rPr>
        <w:footnoteReference w:id="15"/>
      </w:r>
      <w:r>
        <w:rPr>
          <w:vertAlign w:val="superscript"/>
        </w:rPr>
        <w:t>/</w:t>
      </w:r>
      <w:r>
        <w:rPr/>
        <w:t xml:space="preserve"> </w:t>
      </w:r>
    </w:p>
    <w:p>
      <w:pPr>
        <w:pStyle w:val="BodyText"/>
        <w:rPr/>
      </w:pPr>
      <w:r>
        <w:rPr/>
        <w:t>The only parties to criticize PG&amp;E’s proposal are Kern River Pipeline (Kern River) and El Paso Natural Gas Company (El Paso), which strongly suggests that these parties stand to benefit from the Comprehensive Settlement’s preferential treatment of gas flowing on the Kern/Mojave pipeline.  The criticisms Kern River and El Paso make, however, are either irrelevant or misguided.</w:t>
      </w:r>
    </w:p>
    <w:p>
      <w:pPr>
        <w:pStyle w:val="BodyText"/>
        <w:rPr/>
      </w:pPr>
      <w:r>
        <w:rPr/>
        <w:t>First, both Kern River and El Paso argue that PG&amp;E’s proposal is flawed because it erroneously assumes that the Kern/Mojave interconnection capacity at Wheeler Ridge is 500 MMcf/d.</w:t>
      </w:r>
      <w:r>
        <w:rPr>
          <w:rStyle w:val="FootnoteCharacters"/>
          <w:rStyle w:val="FootnoteReference"/>
          <w:u w:val="single"/>
        </w:rPr>
        <w:footnoteReference w:id="16"/>
      </w:r>
      <w:r>
        <w:rPr>
          <w:vertAlign w:val="superscript"/>
        </w:rPr>
        <w:t>/</w:t>
      </w:r>
      <w:r>
        <w:rPr/>
        <w:t xml:space="preserve">  As explained above, whether the Kern/Mojave capacity is 500 or 680 MMcf/d does not change or invalidate PG&amp;E’s basic proposal; that proposal would still maximize the available capacity at Wheeler Ridge in a way that the Comprehensive Settlement does not.</w:t>
      </w:r>
      <w:r>
        <w:rPr>
          <w:rStyle w:val="FootnoteCharacters"/>
          <w:rStyle w:val="FootnoteReference"/>
          <w:u w:val="single"/>
        </w:rPr>
        <w:footnoteReference w:id="17"/>
      </w:r>
      <w:r>
        <w:rPr>
          <w:vertAlign w:val="superscript"/>
        </w:rPr>
        <w:t>/</w:t>
      </w:r>
      <w:r>
        <w:rPr/>
        <w:t xml:space="preserve"> </w:t>
      </w:r>
    </w:p>
    <w:p>
      <w:pPr>
        <w:pStyle w:val="BodyText"/>
        <w:rPr/>
      </w:pPr>
      <w:r>
        <w:rPr/>
        <w:t>El Paso goes on to argue that “at least 340 MMcf/d of firm primary rights at Wheeler Ridge would be subject to curtailment every day of the year under PG&amp;E’s proposal.”</w:t>
      </w:r>
      <w:r>
        <w:rPr>
          <w:rStyle w:val="FootnoteCharacters"/>
          <w:rStyle w:val="FootnoteReference"/>
          <w:u w:val="single"/>
        </w:rPr>
        <w:footnoteReference w:id="18"/>
      </w:r>
      <w:r>
        <w:rPr>
          <w:vertAlign w:val="superscript"/>
        </w:rPr>
        <w:t>/</w:t>
      </w:r>
      <w:r>
        <w:rPr/>
        <w:t xml:space="preserve">  El Paso bases this claim on the assertion that “under PG&amp;E’s proposal, firm capacity rights in the aggregate amount of up to 1020 MMcf/d would be allocated at Wheeler Ridge even though the total take</w:t>
        <w:noBreakHyphen/>
        <w:t>away capacity of the SoCalGas system at this point is only 680.”</w:t>
      </w:r>
      <w:r>
        <w:rPr>
          <w:rStyle w:val="FootnoteCharacters"/>
          <w:rStyle w:val="FootnoteReference"/>
          <w:u w:val="single"/>
        </w:rPr>
        <w:footnoteReference w:id="19"/>
      </w:r>
      <w:r>
        <w:rPr>
          <w:vertAlign w:val="superscript"/>
        </w:rPr>
        <w:t>/</w:t>
      </w:r>
      <w:r>
        <w:rPr/>
        <w:t xml:space="preserve">  This claim is misguided and incorrect.  It ignores the fact, discussed above, that PG&amp;E’s proposal specifically limits the total firm capacity sold at Wheeler Ridge North and South to a total of 680 MMcf/d precisely to remedy this problem.</w:t>
      </w:r>
      <w:r>
        <w:rPr>
          <w:rStyle w:val="FootnoteCharacters"/>
          <w:rStyle w:val="FootnoteReference"/>
          <w:u w:val="single"/>
        </w:rPr>
        <w:footnoteReference w:id="20"/>
      </w:r>
      <w:r>
        <w:rPr>
          <w:vertAlign w:val="superscript"/>
        </w:rPr>
        <w:t>/</w:t>
      </w:r>
      <w:r>
        <w:rPr/>
        <w:t xml:space="preserve"> </w:t>
      </w:r>
    </w:p>
    <w:p>
      <w:pPr>
        <w:pStyle w:val="BodyText"/>
        <w:rPr/>
      </w:pPr>
      <w:r>
        <w:rPr/>
        <w:t>Finally, El Paso argues that “PG&amp;E’s proposal would limit shipper choice rather than broaden it” because “[u]nder PG&amp;E’s proposal, firm capacity rights available to shippers would be limited to . . . 500 MMcf/d from Kern/Mojave,” an amount “well below the physical capacity of the interconnect with Kern/Mojave.”</w:t>
      </w:r>
      <w:r>
        <w:rPr>
          <w:rStyle w:val="FootnoteCharacters"/>
          <w:rStyle w:val="FootnoteReference"/>
          <w:u w:val="single"/>
        </w:rPr>
        <w:footnoteReference w:id="21"/>
      </w:r>
      <w:r>
        <w:rPr>
          <w:vertAlign w:val="superscript"/>
        </w:rPr>
        <w:t>/</w:t>
      </w:r>
      <w:r>
        <w:rPr/>
        <w:t xml:space="preserve">  Again, this red herring is based on the information PG&amp;E had received from SoCalGas that the Kern/Mojave interconnection capacity is 500 MMcf/d.</w:t>
      </w:r>
      <w:r>
        <w:rPr>
          <w:rStyle w:val="FootnoteCharacters"/>
          <w:rStyle w:val="FootnoteReference"/>
          <w:u w:val="single"/>
        </w:rPr>
        <w:footnoteReference w:id="22"/>
      </w:r>
      <w:r>
        <w:rPr>
          <w:vertAlign w:val="superscript"/>
        </w:rPr>
        <w:t>/</w:t>
      </w:r>
      <w:r>
        <w:rPr/>
        <w:t xml:space="preserve">  As noted above, this difference does not change PG&amp;E’s basic proposal.  If the meter configuration at the Kern/Mojave interconnection point is altered to accommodate flows of 680 MMcf/d and if market participants want to move 680 MMcf/d of gas on Kern/Mojave and no gas from the PG&amp;E or Oxy interconnection points through the Wheeler Ridge complex, PG&amp;E’s proposal would permit them to do so.  Moreover, PG&amp;E’s proposal remedies the deficiencies the Comprehensive Settlement creates, discussed on page 4 above.  As Mr. Hall explained:</w:t>
      </w:r>
    </w:p>
    <w:p>
      <w:pPr>
        <w:pStyle w:val="indentquote"/>
        <w:ind w:start="0" w:end="1584"/>
        <w:rPr/>
      </w:pPr>
      <w:r>
        <w:rPr/>
      </w:r>
    </w:p>
    <w:p>
      <w:pPr>
        <w:pStyle w:val="indentquote"/>
        <w:rPr/>
      </w:pPr>
      <w:r>
        <w:rPr/>
        <w:t>PG&amp;E’s proposal, in contrast to the Comprehensive Settlement’s approach would allow full use of the primary receipt point capacity at Wheeler Ridge.  Here is how PG&amp;E’s proposal would work using the same example, above, where shippers desire 300 MMcf/d of capacity from the Kern</w:t>
        <w:noBreakHyphen/>
        <w:t>Mojave system.  These shippers would contract for 300 MMcf/d of primary receipt point access at W.R.</w:t>
        <w:noBreakHyphen/>
        <w:t>South.  This would still leave 380 MMcf/d of primary capacity within the Wheeler Ridge receipt point.  Market participants would there (sic: then) be able to contract for the entire 380 MMcf/d at W.R.</w:t>
        <w:noBreakHyphen/>
        <w:t>North or would be able to contract for up to the remaining physical interconnect capacity of 200 MMcf/d at W.R.</w:t>
        <w:noBreakHyphen/>
        <w:t>South.  This provides shippers greater flexibility and choice.</w:t>
      </w:r>
      <w:r>
        <w:rPr>
          <w:rStyle w:val="FootnoteCharacters"/>
          <w:rStyle w:val="FootnoteReference"/>
          <w:u w:val="single"/>
        </w:rPr>
        <w:footnoteReference w:id="23"/>
      </w:r>
      <w:r>
        <w:rPr>
          <w:vertAlign w:val="superscript"/>
        </w:rPr>
        <w:t>/</w:t>
      </w:r>
      <w:r>
        <w:rPr/>
        <w:t xml:space="preserve"> </w:t>
      </w:r>
    </w:p>
    <w:p>
      <w:pPr>
        <w:pStyle w:val="BodyText"/>
        <w:spacing w:before="120" w:after="0"/>
        <w:rPr/>
      </w:pPr>
      <w:r>
        <w:rPr/>
        <w:t>For all the foregoing reasons, the PG&amp;E proposal improves on the Comprehensive Settlement’s treatment of Wheeler Ridge capacity allocation without any countervailing cost or harm.</w:t>
      </w:r>
    </w:p>
    <w:p>
      <w:pPr>
        <w:pStyle w:val="Heading1"/>
        <w:rPr/>
      </w:pPr>
      <w:r>
        <w:rPr/>
        <w:t>III.</w:t>
        <w:tab/>
        <w:t>CONCLUSION</w:t>
      </w:r>
    </w:p>
    <w:p>
      <w:pPr>
        <w:pStyle w:val="BodyText"/>
        <w:rPr/>
      </w:pPr>
      <w:r>
        <w:rPr/>
        <w:t>The receipt point access problems shippers and end</w:t>
        <w:noBreakHyphen/>
        <w:t>users of natural gas currently experience on the SoCalGas system will be diminished if the Interim Settlement is adopted, especially the provisions that:</w:t>
      </w:r>
    </w:p>
    <w:p>
      <w:pPr>
        <w:pStyle w:val="BodyText"/>
        <w:numPr>
          <w:ilvl w:val="0"/>
          <w:numId w:val="2"/>
        </w:numPr>
        <w:tabs>
          <w:tab w:val="clear" w:pos="720"/>
          <w:tab w:val="left" w:pos="0" w:leader="none"/>
        </w:tabs>
        <w:ind w:hanging="1440" w:start="2160" w:end="0"/>
        <w:rPr/>
      </w:pPr>
      <w:r>
        <w:rPr/>
        <w:t>eliminate the existing “window” procedures and replace them with a system where daily receipt point capacities are set on maximum physical operating capacity;</w:t>
      </w:r>
    </w:p>
    <w:p>
      <w:pPr>
        <w:pStyle w:val="BodyText"/>
        <w:numPr>
          <w:ilvl w:val="0"/>
          <w:numId w:val="2"/>
        </w:numPr>
        <w:tabs>
          <w:tab w:val="clear" w:pos="720"/>
          <w:tab w:val="left" w:pos="0" w:leader="none"/>
        </w:tabs>
        <w:ind w:hanging="1440" w:start="2160" w:end="0"/>
        <w:rPr/>
      </w:pPr>
      <w:r>
        <w:rPr/>
        <w:t>establish Hector Road as a formal receipt point;</w:t>
      </w:r>
    </w:p>
    <w:p>
      <w:pPr>
        <w:pStyle w:val="BodyText"/>
        <w:numPr>
          <w:ilvl w:val="0"/>
          <w:numId w:val="2"/>
        </w:numPr>
        <w:tabs>
          <w:tab w:val="clear" w:pos="720"/>
          <w:tab w:val="left" w:pos="0" w:leader="none"/>
        </w:tabs>
        <w:ind w:hanging="720" w:start="2160" w:end="0"/>
        <w:rPr/>
      </w:pPr>
      <w:r>
        <w:rPr/>
        <w:t>implement an Operational Flow Orders to replace the existing over</w:t>
        <w:noBreakHyphen/>
        <w:t>nomination event provisions.</w:t>
      </w:r>
    </w:p>
    <w:p>
      <w:pPr>
        <w:pStyle w:val="BodyText"/>
        <w:rPr/>
      </w:pPr>
      <w:r>
        <w:rPr/>
        <w:t>The Comprehensive Settlement also contains a long</w:t>
        <w:noBreakHyphen/>
        <w:t>term solution that establishes firm, unbundled, receipt</w:t>
        <w:noBreakHyphen/>
        <w:t>point</w:t>
        <w:noBreakHyphen/>
        <w:t>specific transmission rights.  Conceptually, this is an improvement over the Interim Settlement; however, the manner in which the Comprehensive Settlement would establish primary firm rights at Wheeler Ridge should be modified as PG&amp;E suggests to allow market</w:t>
        <w:noBreakHyphen/>
        <w:t>determined allocations and to be consistent with the physical interconnection capacities of PG&amp;E/Occidental and Kern/Mojave at Wheeler Ridge.</w:t>
      </w:r>
    </w:p>
    <w:p>
      <w:pPr>
        <w:pStyle w:val="SingleSpacing"/>
        <w:tabs>
          <w:tab w:val="clear" w:pos="720"/>
          <w:tab w:val="right" w:pos="3600" w:leader="none"/>
        </w:tabs>
        <w:rPr/>
      </w:pPr>
      <w:r>
        <w:rPr/>
      </w:r>
    </w:p>
    <w:p>
      <w:pPr>
        <w:pStyle w:val="SingleSpacing"/>
        <w:tabs>
          <w:tab w:val="clear" w:pos="720"/>
          <w:tab w:val="right" w:pos="3600" w:leader="none"/>
        </w:tabs>
        <w:spacing w:lineRule="auto" w:line="240"/>
        <w:rPr/>
      </w:pPr>
      <w:r>
        <w:rPr/>
        <w:tab/>
        <w:tab/>
        <w:t>Respectfully submitted,</w:t>
      </w:r>
    </w:p>
    <w:p>
      <w:pPr>
        <w:pStyle w:val="SingleSpacing"/>
        <w:tabs>
          <w:tab w:val="clear" w:pos="720"/>
          <w:tab w:val="right" w:pos="3600" w:leader="none"/>
        </w:tabs>
        <w:spacing w:lineRule="auto" w:line="240" w:before="240" w:after="0"/>
        <w:rPr/>
      </w:pPr>
      <w:r>
        <w:rPr/>
        <w:tab/>
        <w:tab/>
        <w:t>RANDALL J. LITTENEKER</w:t>
      </w:r>
    </w:p>
    <w:p>
      <w:pPr>
        <w:pStyle w:val="SingleSpacing"/>
        <w:tabs>
          <w:tab w:val="clear" w:pos="720"/>
          <w:tab w:val="right" w:pos="3600" w:leader="none"/>
        </w:tabs>
        <w:spacing w:lineRule="auto" w:line="240"/>
        <w:rPr/>
      </w:pPr>
      <w:r>
        <w:rPr/>
        <w:tab/>
        <w:tab/>
        <w:t>EDWARD V. KURZ</w:t>
      </w:r>
    </w:p>
    <w:p>
      <w:pPr>
        <w:pStyle w:val="SingleSpacing"/>
        <w:tabs>
          <w:tab w:val="clear" w:pos="720"/>
          <w:tab w:val="right" w:pos="3600" w:leader="none"/>
        </w:tabs>
        <w:spacing w:lineRule="auto" w:line="240"/>
        <w:rPr/>
      </w:pPr>
      <w:r>
        <w:rPr/>
      </w:r>
    </w:p>
    <w:p>
      <w:pPr>
        <w:pStyle w:val="SingleSpacing"/>
        <w:tabs>
          <w:tab w:val="clear" w:pos="720"/>
          <w:tab w:val="right" w:pos="3600" w:leader="none"/>
        </w:tabs>
        <w:spacing w:lineRule="auto" w:line="240"/>
        <w:rPr/>
      </w:pPr>
      <w:r>
        <w:rPr/>
      </w:r>
    </w:p>
    <w:p>
      <w:pPr>
        <w:pStyle w:val="SingleSpacing"/>
        <w:tabs>
          <w:tab w:val="clear" w:pos="720"/>
          <w:tab w:val="right" w:pos="3600" w:leader="none"/>
        </w:tabs>
        <w:spacing w:lineRule="auto" w:line="240"/>
        <w:rPr/>
      </w:pPr>
      <w:r>
        <w:rPr/>
      </w:r>
    </w:p>
    <w:p>
      <w:pPr>
        <w:pStyle w:val="SingleSpacing"/>
        <w:tabs>
          <w:tab w:val="clear" w:pos="720"/>
          <w:tab w:val="right" w:pos="3600" w:leader="none"/>
        </w:tabs>
        <w:spacing w:lineRule="auto" w:line="240"/>
        <w:rPr/>
      </w:pPr>
      <w:r>
        <w:rPr/>
        <w:tab/>
        <w:tab/>
        <w:t xml:space="preserve">By:  </w:t>
      </w:r>
      <w:r>
        <w:rPr>
          <w:u w:val="single"/>
        </w:rPr>
        <w:tab/>
        <w:tab/>
        <w:tab/>
        <w:tab/>
        <w:tab/>
        <w:tab/>
      </w:r>
    </w:p>
    <w:p>
      <w:pPr>
        <w:pStyle w:val="SingleSpacing"/>
        <w:tabs>
          <w:tab w:val="clear" w:pos="720"/>
          <w:tab w:val="right" w:pos="3600" w:leader="none"/>
          <w:tab w:val="left" w:pos="4770" w:leader="none"/>
        </w:tabs>
        <w:spacing w:lineRule="auto" w:line="240"/>
        <w:rPr/>
      </w:pPr>
      <w:r>
        <w:rPr/>
        <w:tab/>
        <w:tab/>
        <w:t>EDWARD V. KURZ</w:t>
      </w:r>
    </w:p>
    <w:p>
      <w:pPr>
        <w:pStyle w:val="SingleSpacing"/>
        <w:tabs>
          <w:tab w:val="clear" w:pos="720"/>
          <w:tab w:val="right" w:pos="3600" w:leader="none"/>
          <w:tab w:val="left" w:pos="4770" w:leader="none"/>
        </w:tabs>
        <w:spacing w:lineRule="auto" w:line="240"/>
        <w:rPr/>
      </w:pPr>
      <w:r>
        <w:rPr/>
      </w:r>
    </w:p>
    <w:p>
      <w:pPr>
        <w:pStyle w:val="SingleSpacing"/>
        <w:tabs>
          <w:tab w:val="clear" w:pos="720"/>
          <w:tab w:val="right" w:pos="3600" w:leader="none"/>
        </w:tabs>
        <w:spacing w:lineRule="auto" w:line="240"/>
        <w:rPr/>
      </w:pPr>
      <w:r>
        <w:rPr/>
        <w:tab/>
        <w:tab/>
        <w:t xml:space="preserve">Law Department </w:t>
      </w:r>
    </w:p>
    <w:p>
      <w:pPr>
        <w:pStyle w:val="SingleSpacing"/>
        <w:tabs>
          <w:tab w:val="clear" w:pos="720"/>
          <w:tab w:val="right" w:pos="3600" w:leader="none"/>
        </w:tabs>
        <w:spacing w:lineRule="auto" w:line="240"/>
        <w:rPr/>
      </w:pPr>
      <w:r>
        <w:rPr/>
        <w:tab/>
        <w:tab/>
        <w:t xml:space="preserve">PACIFIC GAS AND ELECTRIC COMPANY </w:t>
      </w:r>
    </w:p>
    <w:p>
      <w:pPr>
        <w:pStyle w:val="SingleSpacing"/>
        <w:tabs>
          <w:tab w:val="clear" w:pos="720"/>
          <w:tab w:val="right" w:pos="3600" w:leader="none"/>
        </w:tabs>
        <w:spacing w:lineRule="auto" w:line="240"/>
        <w:rPr/>
      </w:pPr>
      <w:r>
        <w:rPr/>
        <w:tab/>
        <w:tab/>
        <w:t>77 Beale Street, B30A</w:t>
      </w:r>
    </w:p>
    <w:p>
      <w:pPr>
        <w:pStyle w:val="SingleSpacing"/>
        <w:tabs>
          <w:tab w:val="clear" w:pos="720"/>
          <w:tab w:val="right" w:pos="3600" w:leader="none"/>
        </w:tabs>
        <w:spacing w:lineRule="auto" w:line="240"/>
        <w:rPr/>
      </w:pPr>
      <w:r>
        <w:rPr/>
        <w:tab/>
        <w:tab/>
        <w:t xml:space="preserve">San Francisco, CA  94105 </w:t>
      </w:r>
    </w:p>
    <w:p>
      <w:pPr>
        <w:pStyle w:val="SingleSpacing"/>
        <w:tabs>
          <w:tab w:val="clear" w:pos="720"/>
          <w:tab w:val="right" w:pos="3600" w:leader="none"/>
        </w:tabs>
        <w:spacing w:lineRule="auto" w:line="240"/>
        <w:rPr/>
      </w:pPr>
      <w:r>
        <w:rPr/>
        <w:tab/>
        <w:tab/>
        <w:t>Telephone:  (415) 973</w:t>
        <w:noBreakHyphen/>
        <w:t>6669</w:t>
      </w:r>
    </w:p>
    <w:p>
      <w:pPr>
        <w:pStyle w:val="SingleSpacing"/>
        <w:tabs>
          <w:tab w:val="clear" w:pos="720"/>
          <w:tab w:val="right" w:pos="3600" w:leader="none"/>
        </w:tabs>
        <w:spacing w:lineRule="auto" w:line="240" w:before="120" w:after="0"/>
        <w:rPr/>
      </w:pPr>
      <w:r>
        <w:rPr/>
        <w:tab/>
        <w:tab/>
        <w:t>Attorneys for</w:t>
      </w:r>
    </w:p>
    <w:p>
      <w:pPr>
        <w:pStyle w:val="SingleSpacing"/>
        <w:tabs>
          <w:tab w:val="clear" w:pos="720"/>
          <w:tab w:val="right" w:pos="3600" w:leader="none"/>
        </w:tabs>
        <w:spacing w:lineRule="auto" w:line="240"/>
        <w:rPr/>
      </w:pPr>
      <w:r>
        <w:rPr/>
        <w:tab/>
        <w:tab/>
        <w:t>PACIFIC GAS AND ELECTRIC COMPANY</w:t>
      </w:r>
    </w:p>
    <w:p>
      <w:pPr>
        <w:pStyle w:val="SingleSpacing"/>
        <w:tabs>
          <w:tab w:val="clear" w:pos="720"/>
          <w:tab w:val="right" w:pos="3600" w:leader="none"/>
        </w:tabs>
        <w:spacing w:lineRule="exact" w:line="240"/>
        <w:rPr/>
      </w:pPr>
      <w:r>
        <w:rPr/>
      </w:r>
    </w:p>
    <w:p>
      <w:pPr>
        <w:sectPr>
          <w:headerReference w:type="default" r:id="rId6"/>
          <w:headerReference w:type="first" r:id="rId7"/>
          <w:footerReference w:type="default" r:id="rId8"/>
          <w:footerReference w:type="first" r:id="rId9"/>
          <w:footnotePr>
            <w:numFmt w:val="decimal"/>
          </w:footnotePr>
          <w:type w:val="nextPage"/>
          <w:pgSz w:w="12240" w:h="15840"/>
          <w:pgMar w:left="1800" w:right="605" w:gutter="0" w:header="0" w:top="1354" w:footer="576" w:bottom="1080"/>
          <w:pgNumType w:start="1" w:fmt="decimal"/>
          <w:formProt w:val="false"/>
          <w:textDirection w:val="lrTb"/>
        </w:sectPr>
        <w:pStyle w:val="SingleSpacing"/>
        <w:tabs>
          <w:tab w:val="clear" w:pos="720"/>
          <w:tab w:val="right" w:pos="3600" w:leader="none"/>
        </w:tabs>
        <w:spacing w:lineRule="exact" w:line="240" w:before="60" w:after="0"/>
        <w:rPr/>
      </w:pPr>
      <w:r>
        <w:rPr/>
        <w:t>July 10, 2000</w:t>
      </w:r>
    </w:p>
    <w:p>
      <w:pPr>
        <w:pStyle w:val="Normal"/>
        <w:jc w:val="center"/>
        <w:rPr/>
      </w:pPr>
      <w:r>
        <w:rPr/>
        <w:t>PROOF OF SERVICE BY MAIL</w:t>
      </w:r>
    </w:p>
    <w:p>
      <w:pPr>
        <w:pStyle w:val="BodyText"/>
        <w:spacing w:before="120" w:after="0"/>
        <w:ind w:end="-450"/>
        <w:rPr/>
      </w:pPr>
      <w:r>
        <w:rPr/>
        <w:t>I, the undersigned, state that I am a citizen of the United States and employed in the City and County of San Francisco; that I am over the age of eighteen (18) years and not a party to the within cause; and that my business address is Pacific Gas and Electric Company, 77 Beale Street, San Francisco, California 94105.</w:t>
      </w:r>
    </w:p>
    <w:p>
      <w:pPr>
        <w:pStyle w:val="BodyText"/>
        <w:ind w:end="-450"/>
        <w:rPr/>
      </w:pPr>
      <w:r>
        <w:rPr/>
        <w:t>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BodyText"/>
        <w:ind w:end="-450"/>
        <w:rPr/>
      </w:pPr>
      <w:r>
        <w:rPr/>
        <w:t>On July 10, 2000, I caused to be served a true copy of:</w:t>
      </w:r>
    </w:p>
    <w:p>
      <w:pPr>
        <w:pStyle w:val="Normal"/>
        <w:ind w:end="-450"/>
        <w:jc w:val="center"/>
        <w:rPr/>
      </w:pPr>
      <w:r>
        <w:rPr/>
      </w:r>
    </w:p>
    <w:p>
      <w:pPr>
        <w:pStyle w:val="Normal"/>
        <w:spacing w:lineRule="auto" w:line="240" w:before="60" w:after="0"/>
        <w:jc w:val="center"/>
        <w:rPr>
          <w:b/>
          <w:bCs/>
        </w:rPr>
      </w:pPr>
      <w:r>
        <w:rPr>
          <w:b/>
          <w:bCs/>
        </w:rPr>
        <w:t>OPENING BRIEF OF</w:t>
      </w:r>
    </w:p>
    <w:p>
      <w:pPr>
        <w:pStyle w:val="Normal"/>
        <w:spacing w:lineRule="auto" w:line="240"/>
        <w:jc w:val="center"/>
        <w:rPr>
          <w:b/>
          <w:bCs/>
        </w:rPr>
      </w:pPr>
      <w:r>
        <w:rPr>
          <w:b/>
          <w:bCs/>
        </w:rPr>
        <w:t xml:space="preserve">PACIFIC GAS AND ELECTRIC COMPANY </w:t>
      </w:r>
    </w:p>
    <w:p>
      <w:pPr>
        <w:pStyle w:val="BodyText"/>
        <w:spacing w:before="60" w:after="0"/>
        <w:ind w:hanging="0" w:end="-446"/>
        <w:rPr/>
      </w:pPr>
      <w:r>
        <w:rPr/>
        <w:t>by placing it for collection and mailing, in the course of ordinary business practice, with other correspondence of Pacific Gas and Electric Company, on July 10, 2000, enclosed in a sealed envelope, with postage fully prepaid, addressed to:</w:t>
      </w:r>
    </w:p>
    <w:p>
      <w:pPr>
        <w:pStyle w:val="BodyText"/>
        <w:ind w:hanging="0" w:end="-450"/>
        <w:jc w:val="center"/>
        <w:rPr/>
      </w:pPr>
      <w:r>
        <w:rPr/>
        <w:t>All Parties in I.99</w:t>
        <w:noBreakHyphen/>
        <w:t>07</w:t>
        <w:noBreakHyphen/>
        <w:t>003</w:t>
      </w:r>
    </w:p>
    <w:p>
      <w:pPr>
        <w:pStyle w:val="BodyText"/>
        <w:ind w:end="-450"/>
        <w:rPr/>
      </w:pPr>
      <w:r>
        <w:rPr/>
        <w:t>I certify and declare under penalty of perjury under the laws of the State of California that the foregoing is true and correct.</w:t>
      </w:r>
    </w:p>
    <w:p>
      <w:pPr>
        <w:pStyle w:val="BodyText"/>
        <w:ind w:end="-450"/>
        <w:rPr/>
      </w:pPr>
      <w:r>
        <w:rPr/>
        <w:t>Executed on July 10, 2000.</w:t>
      </w:r>
    </w:p>
    <w:p>
      <w:pPr>
        <w:pStyle w:val="Normal"/>
        <w:ind w:end="-450"/>
        <w:rPr/>
      </w:pPr>
      <w:r>
        <w:rPr/>
      </w:r>
    </w:p>
    <w:p>
      <w:pPr>
        <w:pStyle w:val="Normal"/>
        <w:ind w:end="-450"/>
        <w:rPr/>
      </w:pPr>
      <w:r>
        <w:rPr/>
      </w:r>
    </w:p>
    <w:p>
      <w:pPr>
        <w:pStyle w:val="SingleSpacing"/>
        <w:ind w:end="-450"/>
        <w:rPr/>
      </w:pPr>
      <w:r>
        <w:rPr/>
        <w:tab/>
        <w:tab/>
        <w:tab/>
        <w:tab/>
        <w:tab/>
        <w:tab/>
      </w:r>
      <w:r>
        <w:rPr>
          <w:u w:val="single"/>
        </w:rPr>
        <w:tab/>
        <w:tab/>
        <w:tab/>
        <w:tab/>
        <w:tab/>
        <w:tab/>
      </w:r>
    </w:p>
    <w:p>
      <w:pPr>
        <w:sectPr>
          <w:headerReference w:type="default" r:id="rId10"/>
          <w:footerReference w:type="default" r:id="rId11"/>
          <w:footerReference w:type="first" r:id="rId12"/>
          <w:footnotePr>
            <w:numFmt w:val="decimal"/>
          </w:footnotePr>
          <w:type w:val="nextPage"/>
          <w:pgSz w:w="12240" w:h="15840"/>
          <w:pgMar w:left="1440" w:right="1440" w:gutter="0" w:header="432" w:top="1296" w:footer="576" w:bottom="1080"/>
          <w:pgNumType w:start="1" w:fmt="decimal"/>
          <w:formProt w:val="false"/>
          <w:textDirection w:val="lrTb"/>
        </w:sectPr>
        <w:pStyle w:val="Normal"/>
        <w:spacing w:lineRule="exact" w:line="249"/>
        <w:ind w:end="-450"/>
        <w:rPr/>
      </w:pPr>
      <w:r>
        <w:rPr/>
        <w:tab/>
        <w:tab/>
        <w:tab/>
        <w:tab/>
        <w:tab/>
        <w:tab/>
      </w:r>
      <w:r>
        <w:rPr>
          <w:vertAlign w:val="superscript"/>
        </w:rPr>
        <w:t xml:space="preserve">  </w:t>
      </w:r>
      <w:r>
        <w:rPr/>
        <w:t xml:space="preserve">  </w:t>
        <w:tab/>
        <w:t xml:space="preserve">      STEPHANIE LOUIE</w:t>
      </w:r>
    </w:p>
    <w:p>
      <w:pPr>
        <w:pStyle w:val="TOC1"/>
        <w:spacing w:before="240" w:after="240"/>
        <w:rPr>
          <w:lang w:val="en-CA"/>
        </w:rPr>
      </w:pPr>
      <w:bookmarkStart w:id="1" w:name="TOC"/>
      <w:bookmarkEnd w:id="1"/>
      <w:r>
        <w:rPr>
          <w:lang w:val="en-CA"/>
        </w:rPr>
        <w:t>I.</w:t>
        <w:tab/>
        <w:t>EXECUTIVE SUMMARY</w:t>
        <w:tab/>
        <w:t>1</w:t>
      </w:r>
    </w:p>
    <w:p>
      <w:pPr>
        <w:pStyle w:val="TOC1"/>
        <w:spacing w:before="240" w:after="240"/>
        <w:rPr>
          <w:lang w:val="en-CA"/>
        </w:rPr>
      </w:pPr>
      <w:r>
        <w:rPr>
          <w:lang w:val="en-CA"/>
        </w:rPr>
        <w:t>II.</w:t>
        <w:tab/>
        <w:t>PG&amp;E’S IMPROVEMENTS TO THE PROPOSED RECEIPT POINT ALLOCATION SCHEME AT WHEELER RIDGE WILL INCREASE CUSTOMERS’ TRANSPORTATION OPTIONS AND MAXIMIZE THE AVAILABLE FIRM CAPACITY IN A FAIR MANNER</w:t>
        <w:tab/>
        <w:t>2</w:t>
      </w:r>
    </w:p>
    <w:p>
      <w:pPr>
        <w:pStyle w:val="TOC2"/>
        <w:spacing w:before="240" w:after="240"/>
        <w:rPr>
          <w:lang w:val="en-CA"/>
        </w:rPr>
      </w:pPr>
      <w:r>
        <w:rPr>
          <w:lang w:val="en-CA"/>
        </w:rPr>
        <w:t>A.</w:t>
        <w:tab/>
        <w:t>The Comprehensive Settlement’s Wheeler Ridge Allocation Scheme Is Unnecessarily Restrictive And Discriminatory</w:t>
        <w:tab/>
        <w:t>2</w:t>
      </w:r>
    </w:p>
    <w:p>
      <w:pPr>
        <w:pStyle w:val="TOC2"/>
        <w:spacing w:before="240" w:after="240"/>
        <w:rPr>
          <w:lang w:val="en-CA"/>
        </w:rPr>
      </w:pPr>
      <w:r>
        <w:rPr>
          <w:lang w:val="en-CA"/>
        </w:rPr>
        <w:t>B.</w:t>
        <w:tab/>
        <w:t>PG&amp;E’s Proposal Cures The Deficiencies In The Comprehensive Settlement’s Wheeler Ridge Allocation Scheme</w:t>
        <w:tab/>
        <w:t>4</w:t>
      </w:r>
    </w:p>
    <w:p>
      <w:pPr>
        <w:sectPr>
          <w:headerReference w:type="default" r:id="rId13"/>
          <w:headerReference w:type="first" r:id="rId14"/>
          <w:footerReference w:type="default" r:id="rId15"/>
          <w:footerReference w:type="first" r:id="rId16"/>
          <w:footnotePr>
            <w:numFmt w:val="decimal"/>
          </w:footnotePr>
          <w:type w:val="nextPage"/>
          <w:pgSz w:w="12240" w:h="15840"/>
          <w:pgMar w:left="1800" w:right="605" w:gutter="0" w:header="288" w:top="2016" w:footer="576" w:bottom="1080"/>
          <w:pgNumType w:start="1" w:fmt="decimal"/>
          <w:formProt w:val="false"/>
          <w:titlePg/>
          <w:textDirection w:val="lrTb"/>
        </w:sectPr>
        <w:pStyle w:val="TOC1"/>
        <w:spacing w:before="240" w:after="240"/>
        <w:rPr>
          <w:lang w:val="en-CA"/>
        </w:rPr>
      </w:pPr>
      <w:r>
        <w:rPr>
          <w:lang w:val="en-CA"/>
        </w:rPr>
        <w:t>III.</w:t>
        <w:tab/>
        <w:t>CONCLUSION</w:t>
        <w:tab/>
        <w:t>7</w:t>
      </w:r>
    </w:p>
    <w:p>
      <w:pPr>
        <w:pStyle w:val="Normal"/>
        <w:jc w:val="end"/>
        <w:rPr>
          <w:smallCaps/>
        </w:rPr>
      </w:pPr>
      <w:bookmarkStart w:id="2" w:name="TOC"/>
      <w:bookmarkEnd w:id="2"/>
      <w:r>
        <w:rPr>
          <w:smallCaps/>
        </w:rPr>
        <w:t>Page(s)</w:t>
      </w:r>
    </w:p>
    <w:p>
      <w:pPr>
        <w:pStyle w:val="Normal"/>
        <w:rPr>
          <w:smallCaps/>
        </w:rPr>
      </w:pPr>
      <w:r>
        <w:rPr>
          <w:smallCaps/>
        </w:rPr>
      </w:r>
    </w:p>
    <w:p>
      <w:pPr>
        <w:pStyle w:val="BodyText"/>
        <w:ind w:hanging="0" w:end="0"/>
        <w:rPr/>
      </w:pPr>
      <w:r>
        <w:rPr/>
        <w:t>Please do not delete any of the above “end of section” breaks!</w:t>
      </w:r>
    </w:p>
    <w:p>
      <w:pPr>
        <w:pStyle w:val="BodyText"/>
        <w:spacing w:lineRule="exact" w:line="240"/>
        <w:ind w:hanging="0" w:end="0"/>
        <w:rPr>
          <w:u w:val="single"/>
        </w:rPr>
      </w:pPr>
      <w:r>
        <w:rPr>
          <w:u w:val="single"/>
        </w:rPr>
      </w:r>
    </w:p>
    <w:p>
      <w:pPr>
        <w:pStyle w:val="Normal"/>
        <w:jc w:val="center"/>
        <w:rPr>
          <w:u w:val="single"/>
        </w:rPr>
      </w:pPr>
      <w:r>
        <w:rPr>
          <w:u w:val="single"/>
        </w:rPr>
      </w:r>
    </w:p>
    <w:sectPr>
      <w:headerReference w:type="default" r:id="rId17"/>
      <w:headerReference w:type="first" r:id="rId18"/>
      <w:footerReference w:type="default" r:id="rId19"/>
      <w:footerReference w:type="first" r:id="rId20"/>
      <w:footnotePr>
        <w:numFmt w:val="decimal"/>
      </w:footnotePr>
      <w:type w:val="nextPage"/>
      <w:pgSz w:w="12240" w:h="15840"/>
      <w:pgMar w:left="1440" w:right="1440" w:gutter="0" w:header="432" w:top="1296" w:footer="576" w:bottom="108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rStyle w:val="PageNumber"/>
        <w:rFonts w:eastAsia="Times New Roman" w:cs="Times New Roman"/>
      </w:rPr>
      <w:fldChar w:fldCharType="begin"/>
    </w:r>
    <w:r>
      <w:rPr>
        <w:rStyle w:val="PageNumber"/>
        <w:rFonts w:eastAsia="Times New Roman" w:cs="Times New Roman"/>
      </w:rPr>
      <w:instrText xml:space="preserve"> PAGE </w:instrText>
    </w:r>
    <w:r>
      <w:rPr>
        <w:rStyle w:val="PageNumber"/>
        <w:rFonts w:eastAsia="Times New Roman" w:cs="Times New Roman"/>
      </w:rPr>
      <w:fldChar w:fldCharType="separate"/>
    </w:r>
    <w:r>
      <w:rPr>
        <w:rStyle w:val="PageNumber"/>
        <w:rFonts w:eastAsia="Times New Roman" w:cs="Times New Roman"/>
      </w:rPr>
      <w:t>8</w:t>
    </w:r>
    <w:r>
      <w:rPr>
        <w:rStyle w:val="PageNumber"/>
        <w:rFonts w:eastAsia="Times New Roman" w:cs="Times New Roman"/>
      </w:rPr>
      <w:fldChar w:fldCharType="end"/>
    </w:r>
    <w:r>
      <w:rPr>
        <w:rStyle w:val="PageNumber"/>
        <w:rFonts w:eastAsia="Times New Roman" w:cs="Times New Roman"/>
      </w:rPr>
      <w:t xml:space="preserve"> -</w:t>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r>
    <w:r>
      <w:rPr/>
      <w:fldChar w:fldCharType="end"/>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t>i</w:t>
    </w:r>
    <w:r>
      <w:rPr/>
      <w:fldChar w:fldCharType="end"/>
    </w:r>
    <w: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432" w:start="432" w:end="0"/>
        <w:rPr/>
      </w:pPr>
      <w:r>
        <w:rPr>
          <w:rStyle w:val="FootnoteCharacters"/>
        </w:rPr>
        <w:footnoteRef/>
      </w:r>
      <w:r>
        <w:rPr>
          <w:vertAlign w:val="superscript"/>
        </w:rPr>
        <w:t>/</w:t>
      </w:r>
      <w:r>
        <w:rPr/>
        <w:tab/>
        <w:t>PG&amp;E submits this brief pursuant to Rule 75 of the Commission’s Rules of Practice and Procedure and the assigned Administrative Law Judge’s oral procedural ruling.  (Tr. Vol. 9, 1238:18.)</w:t>
      </w:r>
    </w:p>
  </w:footnote>
  <w:footnote w:id="3">
    <w:p>
      <w:pPr>
        <w:pStyle w:val="FootnoteText"/>
        <w:spacing w:before="0" w:after="120"/>
        <w:ind w:hanging="432" w:start="432" w:end="0"/>
        <w:rPr/>
      </w:pPr>
      <w:r>
        <w:rPr>
          <w:rStyle w:val="FootnoteCharacters"/>
        </w:rPr>
        <w:footnoteRef/>
      </w:r>
      <w:r>
        <w:rPr>
          <w:vertAlign w:val="superscript"/>
        </w:rPr>
        <w:t>/</w:t>
      </w:r>
      <w:r>
        <w:rPr/>
        <w:tab/>
        <w:t>SoCalGas’ current receipt point capacity allocation procedures are commonly referred to as “window” procedures.  “Window” simply refers to the daily</w:t>
        <w:noBreakHyphen/>
        <w:t xml:space="preserve">determined amounts of capacity at each receipt point that SoCalGas allows shippers and customers on its system to use.  (Ex. 700, 1: fnt 1; </w:t>
      </w:r>
      <w:r>
        <w:rPr>
          <w:u w:val="single"/>
        </w:rPr>
        <w:t>see also</w:t>
      </w:r>
      <w:r>
        <w:rPr/>
        <w:t xml:space="preserve"> Ex. 2, 15:6</w:t>
        <w:noBreakHyphen/>
        <w:t>11.)</w:t>
      </w:r>
    </w:p>
  </w:footnote>
  <w:footnote w:id="4">
    <w:p>
      <w:pPr>
        <w:pStyle w:val="FootnoteText"/>
        <w:spacing w:before="0" w:after="120"/>
        <w:ind w:hanging="432" w:start="432" w:end="0"/>
        <w:rPr/>
      </w:pPr>
      <w:r>
        <w:rPr>
          <w:rStyle w:val="FootnoteCharacters"/>
        </w:rPr>
        <w:footnoteRef/>
      </w:r>
      <w:r>
        <w:rPr>
          <w:vertAlign w:val="superscript"/>
        </w:rPr>
        <w:t>/</w:t>
      </w:r>
      <w:r>
        <w:rPr/>
        <w:tab/>
        <w:t>These settlements were filed on April 3 and 17, 2000, respectively.</w:t>
      </w:r>
    </w:p>
  </w:footnote>
  <w:footnote w:id="5">
    <w:p>
      <w:pPr>
        <w:pStyle w:val="FootnoteText"/>
        <w:spacing w:before="0" w:after="120"/>
        <w:ind w:hanging="432" w:start="432" w:end="0"/>
        <w:rPr/>
      </w:pPr>
      <w:r>
        <w:rPr>
          <w:rStyle w:val="FootnoteCharacters"/>
        </w:rPr>
        <w:footnoteRef/>
      </w:r>
      <w:r>
        <w:rPr>
          <w:vertAlign w:val="superscript"/>
        </w:rPr>
        <w:t>/</w:t>
      </w:r>
      <w:r>
        <w:rPr/>
        <w:tab/>
        <w:t>D.99</w:t>
        <w:noBreakHyphen/>
        <w:t>07</w:t>
        <w:noBreakHyphen/>
        <w:t>015, mimeo p. 2.</w:t>
      </w:r>
    </w:p>
  </w:footnote>
  <w:footnote w:id="6">
    <w:p>
      <w:pPr>
        <w:pStyle w:val="FootnoteText"/>
        <w:spacing w:before="0" w:after="120"/>
        <w:ind w:hanging="432" w:start="432" w:end="0"/>
        <w:rPr/>
      </w:pPr>
      <w:r>
        <w:rPr>
          <w:rStyle w:val="FootnoteCharacters"/>
        </w:rPr>
        <w:footnoteRef/>
      </w:r>
      <w:r>
        <w:rPr>
          <w:vertAlign w:val="superscript"/>
        </w:rPr>
        <w:t>/</w:t>
      </w:r>
      <w:r>
        <w:rPr/>
        <w:tab/>
        <w:t>Exhibit 1, Appendix B, p. 2.</w:t>
      </w:r>
    </w:p>
  </w:footnote>
  <w:footnote w:id="7">
    <w:p>
      <w:pPr>
        <w:pStyle w:val="FootnoteText"/>
        <w:spacing w:before="0" w:after="120"/>
        <w:ind w:hanging="432" w:start="432" w:end="0"/>
        <w:rPr/>
      </w:pPr>
      <w:r>
        <w:rPr>
          <w:rStyle w:val="FootnoteCharacters"/>
        </w:rPr>
        <w:footnoteRef/>
      </w:r>
      <w:r>
        <w:rPr>
          <w:vertAlign w:val="superscript"/>
        </w:rPr>
        <w:t>/</w:t>
      </w:r>
      <w:r>
        <w:rPr/>
        <w:tab/>
        <w:t>Exhibit 28, footnote 1.</w:t>
      </w:r>
    </w:p>
  </w:footnote>
  <w:footnote w:id="8">
    <w:p>
      <w:pPr>
        <w:pStyle w:val="FootnoteText"/>
        <w:spacing w:before="0" w:after="120"/>
        <w:ind w:hanging="432" w:start="432" w:end="0"/>
        <w:rPr/>
      </w:pPr>
      <w:r>
        <w:rPr>
          <w:rStyle w:val="FootnoteCharacters"/>
        </w:rPr>
        <w:footnoteRef/>
      </w:r>
      <w:r>
        <w:rPr>
          <w:vertAlign w:val="superscript"/>
        </w:rPr>
        <w:t>/</w:t>
      </w:r>
      <w:r>
        <w:rPr/>
        <w:tab/>
        <w:t>Tr. Vol. 5, 551:16</w:t>
        <w:noBreakHyphen/>
        <w:t>552:15 (El Paso</w:t>
        <w:noBreakHyphen/>
        <w:t>Weaver).</w:t>
      </w:r>
    </w:p>
  </w:footnote>
  <w:footnote w:id="9">
    <w:p>
      <w:pPr>
        <w:pStyle w:val="FootnoteText"/>
        <w:spacing w:before="0" w:after="120"/>
        <w:ind w:hanging="432" w:start="432" w:end="0"/>
        <w:rPr/>
      </w:pPr>
      <w:r>
        <w:rPr>
          <w:rStyle w:val="FootnoteCharacters"/>
        </w:rPr>
        <w:footnoteRef/>
      </w:r>
      <w:r>
        <w:rPr>
          <w:vertAlign w:val="superscript"/>
        </w:rPr>
        <w:t>/</w:t>
      </w:r>
      <w:r>
        <w:rPr/>
        <w:tab/>
        <w:t>Exhibit 1, Appendix B, p. 1.</w:t>
      </w:r>
    </w:p>
  </w:footnote>
  <w:footnote w:id="10">
    <w:p>
      <w:pPr>
        <w:pStyle w:val="FootnoteText"/>
        <w:spacing w:before="0" w:after="120"/>
        <w:ind w:hanging="432" w:start="432" w:end="0"/>
        <w:rPr/>
      </w:pPr>
      <w:r>
        <w:rPr>
          <w:rStyle w:val="FootnoteCharacters"/>
        </w:rPr>
        <w:footnoteRef/>
      </w:r>
      <w:r>
        <w:rPr>
          <w:vertAlign w:val="superscript"/>
        </w:rPr>
        <w:t>/</w:t>
      </w:r>
      <w:r>
        <w:rPr/>
        <w:tab/>
        <w:t>Id p. 2.</w:t>
      </w:r>
    </w:p>
  </w:footnote>
  <w:footnote w:id="11">
    <w:p>
      <w:pPr>
        <w:pStyle w:val="FootnoteText"/>
        <w:spacing w:before="0" w:after="120"/>
        <w:ind w:hanging="432" w:start="432" w:end="0"/>
        <w:rPr/>
      </w:pPr>
      <w:r>
        <w:rPr>
          <w:rStyle w:val="FootnoteCharacters"/>
        </w:rPr>
        <w:footnoteRef/>
      </w:r>
      <w:r>
        <w:rPr>
          <w:vertAlign w:val="superscript"/>
        </w:rPr>
        <w:t>/</w:t>
      </w:r>
      <w:r>
        <w:rPr/>
        <w:tab/>
        <w:t>Ex. 700, 7:21</w:t>
        <w:noBreakHyphen/>
        <w:t>8:7.</w:t>
      </w:r>
    </w:p>
  </w:footnote>
  <w:footnote w:id="12">
    <w:p>
      <w:pPr>
        <w:pStyle w:val="FootnoteText"/>
        <w:spacing w:before="0" w:after="120"/>
        <w:ind w:hanging="432" w:start="432" w:end="0"/>
        <w:rPr/>
      </w:pPr>
      <w:r>
        <w:rPr>
          <w:rStyle w:val="FootnoteCharacters"/>
        </w:rPr>
        <w:footnoteRef/>
      </w:r>
      <w:r>
        <w:rPr>
          <w:vertAlign w:val="superscript"/>
        </w:rPr>
        <w:t>/</w:t>
      </w:r>
      <w:r>
        <w:rPr/>
        <w:tab/>
        <w:t>Id, 8:13</w:t>
        <w:noBreakHyphen/>
        <w:t>28.</w:t>
      </w:r>
    </w:p>
  </w:footnote>
  <w:footnote w:id="13">
    <w:p>
      <w:pPr>
        <w:pStyle w:val="FootnoteText"/>
        <w:spacing w:before="0" w:after="120"/>
        <w:ind w:hanging="432" w:start="432" w:end="0"/>
        <w:rPr/>
      </w:pPr>
      <w:r>
        <w:rPr>
          <w:rStyle w:val="FootnoteCharacters"/>
        </w:rPr>
        <w:footnoteRef/>
      </w:r>
      <w:r>
        <w:rPr>
          <w:vertAlign w:val="superscript"/>
        </w:rPr>
        <w:t>/</w:t>
      </w:r>
      <w:r>
        <w:rPr/>
        <w:tab/>
        <w:t>Tr. Vol. 4, 390:7</w:t>
        <w:noBreakHyphen/>
        <w:t>394:10 (SoCalGas - Lorenz).</w:t>
      </w:r>
    </w:p>
  </w:footnote>
  <w:footnote w:id="14">
    <w:p>
      <w:pPr>
        <w:pStyle w:val="FootnoteText"/>
        <w:spacing w:before="0" w:after="120"/>
        <w:ind w:hanging="432" w:start="432" w:end="0"/>
        <w:rPr/>
      </w:pPr>
      <w:r>
        <w:rPr>
          <w:rStyle w:val="FootnoteCharacters"/>
        </w:rPr>
        <w:footnoteRef/>
      </w:r>
      <w:r>
        <w:rPr>
          <w:vertAlign w:val="superscript"/>
        </w:rPr>
        <w:t>/</w:t>
      </w:r>
      <w:r>
        <w:rPr/>
        <w:tab/>
        <w:t>Although PG&amp;E’s original proposal listed the capacity of the Kern/Mojave interconnection at 500 MMcf/d (Ex. 700, p. 9, Table), information adduced during hearings suggested the capacity was greater – in excess of 680 MMcf/d (Ex. 601, 4:20 El Paso - Weaver).  As PG&amp;E witness Hall explained, however, whether the capacity is 500 or 680 MMcf/d, PG&amp;E’s basic proposal remains sound and unchanged.  (Tr. Vol. 6, 676:16</w:t>
        <w:noBreakHyphen/>
        <w:t>677:6 PG&amp;E - Hall .)</w:t>
      </w:r>
    </w:p>
  </w:footnote>
  <w:footnote w:id="15">
    <w:p>
      <w:pPr>
        <w:pStyle w:val="FootnoteText"/>
        <w:spacing w:before="0" w:after="120"/>
        <w:ind w:hanging="432" w:start="432" w:end="0"/>
        <w:rPr/>
      </w:pPr>
      <w:r>
        <w:rPr>
          <w:rStyle w:val="FootnoteCharacters"/>
        </w:rPr>
        <w:footnoteRef/>
      </w:r>
      <w:r>
        <w:rPr>
          <w:vertAlign w:val="superscript"/>
        </w:rPr>
        <w:t>/</w:t>
      </w:r>
      <w:r>
        <w:rPr/>
        <w:tab/>
        <w:t>Ex. 700, 9:5</w:t>
        <w:noBreakHyphen/>
        <w:t>7.</w:t>
      </w:r>
    </w:p>
  </w:footnote>
  <w:footnote w:id="16">
    <w:p>
      <w:pPr>
        <w:pStyle w:val="FootnoteText"/>
        <w:spacing w:before="0" w:after="120"/>
        <w:ind w:hanging="432" w:start="432" w:end="0"/>
        <w:rPr/>
      </w:pPr>
      <w:r>
        <w:rPr>
          <w:rStyle w:val="FootnoteCharacters"/>
        </w:rPr>
        <w:footnoteRef/>
      </w:r>
      <w:r>
        <w:rPr>
          <w:vertAlign w:val="superscript"/>
        </w:rPr>
        <w:t>/</w:t>
      </w:r>
      <w:r>
        <w:rPr/>
        <w:tab/>
        <w:t>Ex. 501, 2:11</w:t>
        <w:noBreakHyphen/>
        <w:t>17; Ex. 601, 4:19</w:t>
        <w:noBreakHyphen/>
        <w:t>20.</w:t>
      </w:r>
    </w:p>
  </w:footnote>
  <w:footnote w:id="17">
    <w:p>
      <w:pPr>
        <w:pStyle w:val="FootnoteText"/>
        <w:spacing w:before="0" w:after="120"/>
        <w:ind w:hanging="432" w:start="432" w:end="0"/>
        <w:rPr/>
      </w:pPr>
      <w:r>
        <w:rPr>
          <w:rStyle w:val="FootnoteCharacters"/>
        </w:rPr>
        <w:footnoteRef/>
      </w:r>
      <w:r>
        <w:rPr>
          <w:vertAlign w:val="superscript"/>
        </w:rPr>
        <w:t>/</w:t>
      </w:r>
      <w:r>
        <w:rPr/>
        <w:tab/>
        <w:t>See footnote 13, above.</w:t>
      </w:r>
    </w:p>
  </w:footnote>
  <w:footnote w:id="18">
    <w:p>
      <w:pPr>
        <w:pStyle w:val="FootnoteText"/>
        <w:spacing w:before="0" w:after="120"/>
        <w:ind w:hanging="432" w:start="432" w:end="0"/>
        <w:rPr/>
      </w:pPr>
      <w:r>
        <w:rPr>
          <w:rStyle w:val="FootnoteCharacters"/>
        </w:rPr>
        <w:footnoteRef/>
      </w:r>
      <w:r>
        <w:rPr>
          <w:vertAlign w:val="superscript"/>
        </w:rPr>
        <w:t>/</w:t>
      </w:r>
      <w:r>
        <w:rPr/>
        <w:tab/>
        <w:t>Ex. 601, 5:9</w:t>
        <w:noBreakHyphen/>
        <w:t>10.</w:t>
      </w:r>
    </w:p>
  </w:footnote>
  <w:footnote w:id="19">
    <w:p>
      <w:pPr>
        <w:pStyle w:val="FootnoteText"/>
        <w:spacing w:before="0" w:after="120"/>
        <w:ind w:hanging="432" w:start="432" w:end="0"/>
        <w:rPr/>
      </w:pPr>
      <w:r>
        <w:rPr>
          <w:rStyle w:val="FootnoteCharacters"/>
        </w:rPr>
        <w:footnoteRef/>
      </w:r>
      <w:r>
        <w:rPr>
          <w:vertAlign w:val="superscript"/>
        </w:rPr>
        <w:t>/</w:t>
      </w:r>
      <w:r>
        <w:rPr/>
        <w:tab/>
        <w:t>Id, 5:6</w:t>
        <w:noBreakHyphen/>
        <w:t>8.</w:t>
      </w:r>
    </w:p>
  </w:footnote>
  <w:footnote w:id="20">
    <w:p>
      <w:pPr>
        <w:pStyle w:val="FootnoteText"/>
        <w:spacing w:before="0" w:after="120"/>
        <w:ind w:hanging="432" w:start="432" w:end="0"/>
        <w:rPr/>
      </w:pPr>
      <w:r>
        <w:rPr>
          <w:rStyle w:val="FootnoteCharacters"/>
        </w:rPr>
        <w:footnoteRef/>
      </w:r>
      <w:r>
        <w:rPr>
          <w:vertAlign w:val="superscript"/>
        </w:rPr>
        <w:t>/</w:t>
      </w:r>
      <w:r>
        <w:rPr/>
        <w:tab/>
        <w:t>Ex. 700, 9:5</w:t>
        <w:noBreakHyphen/>
        <w:t>7.</w:t>
      </w:r>
    </w:p>
  </w:footnote>
  <w:footnote w:id="21">
    <w:p>
      <w:pPr>
        <w:pStyle w:val="FootnoteText"/>
        <w:spacing w:before="0" w:after="120"/>
        <w:ind w:hanging="432" w:start="432" w:end="0"/>
        <w:rPr/>
      </w:pPr>
      <w:r>
        <w:rPr>
          <w:rStyle w:val="FootnoteCharacters"/>
        </w:rPr>
        <w:footnoteRef/>
      </w:r>
      <w:r>
        <w:rPr>
          <w:vertAlign w:val="superscript"/>
        </w:rPr>
        <w:t>/</w:t>
      </w:r>
      <w:r>
        <w:rPr/>
        <w:tab/>
        <w:t>Ex. 601, 5:16</w:t>
        <w:noBreakHyphen/>
        <w:t>21.</w:t>
      </w:r>
    </w:p>
  </w:footnote>
  <w:footnote w:id="22">
    <w:p>
      <w:pPr>
        <w:pStyle w:val="FootnoteText"/>
        <w:spacing w:before="0" w:after="120"/>
        <w:ind w:hanging="432" w:start="432" w:end="0"/>
        <w:rPr/>
      </w:pPr>
      <w:r>
        <w:rPr>
          <w:rStyle w:val="FootnoteCharacters"/>
        </w:rPr>
        <w:footnoteRef/>
      </w:r>
      <w:r>
        <w:rPr>
          <w:vertAlign w:val="superscript"/>
        </w:rPr>
        <w:t>/</w:t>
      </w:r>
      <w:r>
        <w:rPr/>
        <w:tab/>
        <w:t>Tr. Vol. 6, 675:3</w:t>
        <w:noBreakHyphen/>
        <w:t>676:1 (PG&amp;E - Hall).</w:t>
      </w:r>
    </w:p>
  </w:footnote>
  <w:footnote w:id="23">
    <w:p>
      <w:pPr>
        <w:pStyle w:val="FootnoteText"/>
        <w:spacing w:before="0" w:after="120"/>
        <w:ind w:hanging="432" w:start="432" w:end="0"/>
        <w:rPr/>
      </w:pPr>
      <w:r>
        <w:rPr>
          <w:rStyle w:val="FootnoteCharacters"/>
        </w:rPr>
        <w:footnoteRef/>
      </w:r>
      <w:r>
        <w:rPr>
          <w:vertAlign w:val="superscript"/>
        </w:rPr>
        <w:t>/</w:t>
      </w:r>
      <w:r>
        <w:rPr/>
        <w:tab/>
        <w:t>Ex. 700, 9:18</w:t>
        <w:noBreakHyphen/>
        <w:t>27.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lineRule="exact" w:line="480" w:before="720" w:after="0"/>
            <w:ind w:hanging="0" w:start="0" w:end="144"/>
            <w:jc w:val="end"/>
            <w:rPr/>
          </w:pPr>
          <w:bookmarkStart w:id="0" w:name="LineNo"/>
          <w:bookmarkEnd w:id="0"/>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jc w:val="end"/>
            <w:rPr/>
          </w:pPr>
          <w:r>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er"/>
            <w:snapToGrid w:val="false"/>
            <w:rPr>
              <w:rFonts w:ascii="Times New Roman" w:hAnsi="Times New Roman" w:eastAsia="Times New Roman" w:cs="Times New Roman"/>
            </w:rPr>
          </w:pPr>
          <w:r>
            <w:rPr>
              <w:rFonts w:eastAsia="Times New Roman" w:cs="Times New Roman" w:ascii="Times New Roman" w:hAnsi="Times New Roman"/>
            </w:rPr>
          </w:r>
        </w:p>
      </w:tc>
      <w:tc>
        <w:tcPr>
          <w:tcW w:w="4788" w:type="dxa"/>
          <w:tcBorders/>
        </w:tcPr>
        <w:p>
          <w:pPr>
            <w:pStyle w:val="Header"/>
            <w:snapToGrid w:val="false"/>
            <w:jc w:val="end"/>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r>
  </w:tbl>
  <w:p>
    <w:pPr>
      <w:pStyle w:val="Header"/>
      <w:jc w:val="end"/>
      <w:rPr>
        <w:rFonts w:ascii="Times New Roman" w:hAnsi="Times New Roman" w:eastAsia="Times New Roman" w:cs="Times New Roman"/>
      </w:rPr>
    </w:pPr>
    <w:r>
      <w:rPr>
        <w:rFonts w:eastAsia="Times New Roman" w:cs="Times New Roman"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826250" cy="9525000"/>
              <wp:effectExtent l="0" t="0" r="0" b="0"/>
              <wp:wrapNone/>
              <wp:docPr id="2" name="Frame2"/>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13309600" cy="14605"/>
              <wp:effectExtent l="0" t="0" r="0" b="0"/>
              <wp:wrapNone/>
              <wp:docPr id="3" name="Frame4"/>
              <a:graphic xmlns:a="http://schemas.openxmlformats.org/drawingml/2006/main">
                <a:graphicData uri="http://schemas.microsoft.com/office/word/2010/wordprocessingShape">
                  <wps:wsp>
                    <wps:cNvSpPr txBox="1"/>
                    <wps:spPr>
                      <a:xfrm>
                        <a:off x="0" y="0"/>
                        <a:ext cx="13309600" cy="14605"/>
                      </a:xfrm>
                      <a:prstGeom prst="rect"/>
                      <a:solidFill>
                        <a:srgbClr val="FFFFFF"/>
                      </a:solidFill>
                    </wps:spPr>
                    <wps:txbx>
                      <w:txbxContent>
                        <w:tbl>
                          <w:tblPr>
                            <w:tblW w:w="20960" w:type="dxa"/>
                            <w:jc w:val="start"/>
                            <w:tblInd w:w="-720" w:type="dxa"/>
                            <w:tblLayout w:type="fixed"/>
                            <w:tblCellMar>
                              <w:top w:w="0" w:type="dxa"/>
                              <w:start w:w="0" w:type="dxa"/>
                              <w:bottom w:w="0" w:type="dxa"/>
                              <w:end w:w="0" w:type="dxa"/>
                            </w:tblCellMar>
                          </w:tblPr>
                          <w:tblGrid>
                            <w:gridCol w:w="540"/>
                            <w:gridCol w:w="1021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Header"/>
                                  <w:spacing w:before="840" w:after="0"/>
                                  <w:jc w:val="center"/>
                                  <w:rPr>
                                    <w:rFonts w:ascii="Times New Roman" w:hAnsi="Times New Roman" w:eastAsia="Times New Roman" w:cs="Times New Roman"/>
                                    <w:b/>
                                    <w:bCs/>
                                    <w:smallCaps/>
                                  </w:rPr>
                                </w:pPr>
                                <w:r>
                                  <w:rPr>
                                    <w:rFonts w:eastAsia="Times New Roman" w:cs="Times New Roman" w:ascii="Times New Roman" w:hAnsi="Times New Roman"/>
                                    <w:b/>
                                    <w:bCs/>
                                    <w:smallCaps/>
                                  </w:rPr>
                                  <w:t>Table of Contents</w:t>
                                </w:r>
                              </w:p>
                              <w:p>
                                <w:pPr>
                                  <w:pStyle w:val="Normal"/>
                                  <w:jc w:val="center"/>
                                  <w:rPr>
                                    <w:b/>
                                    <w:bCs/>
                                    <w:smallCaps/>
                                  </w:rPr>
                                </w:pPr>
                                <w:r>
                                  <w:rPr>
                                    <w:b/>
                                    <w:bCs/>
                                    <w:smallCaps/>
                                  </w:rPr>
                                  <w:t>(continued)</w:t>
                                </w:r>
                              </w:p>
                              <w:p>
                                <w:pPr>
                                  <w:pStyle w:val="Normal"/>
                                  <w:ind w:end="173"/>
                                  <w:jc w:val="end"/>
                                  <w:rPr>
                                    <w:b/>
                                    <w:bCs/>
                                    <w:smallCaps/>
                                  </w:rPr>
                                </w:pPr>
                                <w:r>
                                  <w:rPr>
                                    <w:b/>
                                    <w:bCs/>
                                    <w:smallCaps/>
                                  </w:rPr>
                                  <w:t>Page</w:t>
                                </w:r>
                              </w:p>
                              <w:p>
                                <w:pPr>
                                  <w:pStyle w:val="Normal"/>
                                  <w:ind w:end="173"/>
                                  <w:jc w:val="end"/>
                                  <w:rPr/>
                                </w:pPr>
                                <w:r>
                                  <w:rPr/>
                                </w:r>
                              </w:p>
                              <w:p>
                                <w:pPr>
                                  <w:pStyle w:val="Normal"/>
                                  <w:rPr/>
                                </w:pPr>
                                <w:r>
                                  <w:rPr/>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1048pt;height:1.15pt;mso-wrap-distance-left:0pt;mso-wrap-distance-right:0pt;mso-wrap-distance-top:0pt;mso-wrap-distance-bottom:0pt;margin-top:0pt;mso-position-vertical:top;mso-position-vertical-relative:text;margin-left:-90pt;mso-position-horizontal:left;mso-position-horizontal-relative:text">
              <v:textbox inset="0in,0in,0in,0in">
                <w:txbxContent>
                  <w:tbl>
                    <w:tblPr>
                      <w:tblW w:w="20960" w:type="dxa"/>
                      <w:jc w:val="start"/>
                      <w:tblInd w:w="-720" w:type="dxa"/>
                      <w:tblLayout w:type="fixed"/>
                      <w:tblCellMar>
                        <w:top w:w="0" w:type="dxa"/>
                        <w:start w:w="0" w:type="dxa"/>
                        <w:bottom w:w="0" w:type="dxa"/>
                        <w:end w:w="0" w:type="dxa"/>
                      </w:tblCellMar>
                    </w:tblPr>
                    <w:tblGrid>
                      <w:gridCol w:w="540"/>
                      <w:gridCol w:w="1021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Header"/>
                            <w:spacing w:before="840" w:after="0"/>
                            <w:jc w:val="center"/>
                            <w:rPr>
                              <w:rFonts w:ascii="Times New Roman" w:hAnsi="Times New Roman" w:eastAsia="Times New Roman" w:cs="Times New Roman"/>
                              <w:b/>
                              <w:bCs/>
                              <w:smallCaps/>
                            </w:rPr>
                          </w:pPr>
                          <w:r>
                            <w:rPr>
                              <w:rFonts w:eastAsia="Times New Roman" w:cs="Times New Roman" w:ascii="Times New Roman" w:hAnsi="Times New Roman"/>
                              <w:b/>
                              <w:bCs/>
                              <w:smallCaps/>
                            </w:rPr>
                            <w:t>Table of Contents</w:t>
                          </w:r>
                        </w:p>
                        <w:p>
                          <w:pPr>
                            <w:pStyle w:val="Normal"/>
                            <w:jc w:val="center"/>
                            <w:rPr>
                              <w:b/>
                              <w:bCs/>
                              <w:smallCaps/>
                            </w:rPr>
                          </w:pPr>
                          <w:r>
                            <w:rPr>
                              <w:b/>
                              <w:bCs/>
                              <w:smallCaps/>
                            </w:rPr>
                            <w:t>(continued)</w:t>
                          </w:r>
                        </w:p>
                        <w:p>
                          <w:pPr>
                            <w:pStyle w:val="Normal"/>
                            <w:ind w:end="173"/>
                            <w:jc w:val="end"/>
                            <w:rPr>
                              <w:b/>
                              <w:bCs/>
                              <w:smallCaps/>
                            </w:rPr>
                          </w:pPr>
                          <w:r>
                            <w:rPr>
                              <w:b/>
                              <w:bCs/>
                              <w:smallCaps/>
                            </w:rPr>
                            <w:t>Page</w:t>
                          </w:r>
                        </w:p>
                        <w:p>
                          <w:pPr>
                            <w:pStyle w:val="Normal"/>
                            <w:ind w:end="173"/>
                            <w:jc w:val="end"/>
                            <w:rPr/>
                          </w:pPr>
                          <w:r>
                            <w:rPr/>
                          </w:r>
                        </w:p>
                        <w:p>
                          <w:pPr>
                            <w:pStyle w:val="Normal"/>
                            <w:rPr/>
                          </w:pPr>
                          <w:r>
                            <w:rPr/>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align>top</wp:align>
              </wp:positionV>
              <wp:extent cx="6858000" cy="10058400"/>
              <wp:effectExtent l="0" t="0" r="0" b="0"/>
              <wp:wrapNone/>
              <wp:docPr id="4" name="Frame3"/>
              <a:graphic xmlns:a="http://schemas.openxmlformats.org/drawingml/2006/main">
                <a:graphicData uri="http://schemas.microsoft.com/office/word/2010/wordprocessingShape">
                  <wps:wsp>
                    <wps:cNvSpPr txBox="1"/>
                    <wps:spPr>
                      <a:xfrm>
                        <a:off x="0" y="0"/>
                        <a:ext cx="6858000" cy="10058400"/>
                      </a:xfrm>
                      <a:prstGeom prst="rect"/>
                      <a:solidFill>
                        <a:srgbClr val="FFFFFF"/>
                      </a:solidFill>
                    </wps:spPr>
                    <wps:txbx>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spacing w:before="900" w:after="0"/>
                                  <w:jc w:val="center"/>
                                  <w:rPr>
                                    <w:b/>
                                    <w:bCs/>
                                    <w:smallCaps/>
                                  </w:rPr>
                                </w:pPr>
                                <w:r>
                                  <w:rPr>
                                    <w:b/>
                                    <w:bCs/>
                                    <w:smallCaps/>
                                  </w:rPr>
                                  <w:t>Table of Contents</w:t>
                                </w:r>
                              </w:p>
                              <w:p>
                                <w:pPr>
                                  <w:pStyle w:val="Normal"/>
                                  <w:rPr>
                                    <w:b/>
                                    <w:bCs/>
                                    <w:smallCaps/>
                                  </w:rPr>
                                </w:pPr>
                                <w:r>
                                  <w:rPr>
                                    <w:b/>
                                    <w:bCs/>
                                    <w:smallCaps/>
                                  </w:rPr>
                                </w:r>
                              </w:p>
                              <w:p>
                                <w:pPr>
                                  <w:pStyle w:val="Normal"/>
                                  <w:jc w:val="end"/>
                                  <w:rPr/>
                                </w:pPr>
                                <w:r>
                                  <w:rPr/>
                                </w:r>
                              </w:p>
                              <w:p>
                                <w:pPr>
                                  <w:pStyle w:val="Normal"/>
                                  <w:jc w:val="end"/>
                                  <w:rPr/>
                                </w:pPr>
                                <w:r>
                                  <w:rPr/>
                                </w:r>
                              </w:p>
                            </w:tc>
                          </w:tr>
                          <w:tr>
                            <w:trPr>
                              <w:trHeight w:val="15000" w:hRule="exact"/>
                            </w:trPr>
                            <w:tc>
                              <w:tcPr>
                                <w:tcW w:w="540" w:type="dxa"/>
                                <w:tcBorders>
                                  <w:end w:val="double" w:sz="6" w:space="0" w:color="000000"/>
                                </w:tcBorders>
                              </w:tcPr>
                              <w:p>
                                <w:pPr>
                                  <w:pStyle w:val="HeaderNumbers"/>
                                  <w:snapToGrid w:val="false"/>
                                  <w:spacing w:before="700" w:after="0"/>
                                  <w:rPr/>
                                </w:pPr>
                                <w:r>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r>
                            <w:trPr>
                              <w:trHeight w:val="15000" w:hRule="exact"/>
                            </w:trPr>
                            <w:tc>
                              <w:tcPr>
                                <w:tcW w:w="540" w:type="dxa"/>
                                <w:tcBorders>
                                  <w:end w:val="double" w:sz="6" w:space="0" w:color="000000"/>
                                </w:tcBorders>
                              </w:tcPr>
                              <w:p>
                                <w:pPr>
                                  <w:pStyle w:val="HeaderNumbers"/>
                                  <w:snapToGrid w:val="false"/>
                                  <w:spacing w:before="700" w:after="0"/>
                                  <w:rPr>
                                    <w:b/>
                                    <w:bCs/>
                                    <w:smallCaps/>
                                  </w:rPr>
                                </w:pPr>
                                <w:r>
                                  <w:rPr>
                                    <w:b/>
                                    <w:bCs/>
                                    <w:smallCaps/>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bl>
                      </w:txbxContent>
                    </wps:txbx>
                    <wps:bodyPr anchor="t" lIns="0" tIns="0" rIns="0" bIns="0">
                      <a:noAutofit/>
                    </wps:bodyPr>
                  </wps:wsp>
                </a:graphicData>
              </a:graphic>
            </wp:anchor>
          </w:drawing>
        </mc:Choice>
        <mc:Fallback>
          <w:pict>
            <v:rect style="position:absolute;rotation:-0;width:540pt;height:792pt;mso-wrap-distance-left:0pt;mso-wrap-distance-right:0pt;mso-wrap-distance-top:0pt;mso-wrap-distance-bottom:0pt;margin-top:-14.4pt;mso-position-vertical:top;mso-position-vertical-relative:text;margin-left:-18.05pt;mso-position-horizontal:left;mso-position-horizontal-relative:text">
              <v:textbox inset="0in,0in,0in,0in">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spacing w:before="900" w:after="0"/>
                            <w:jc w:val="center"/>
                            <w:rPr>
                              <w:b/>
                              <w:bCs/>
                              <w:smallCaps/>
                            </w:rPr>
                          </w:pPr>
                          <w:r>
                            <w:rPr>
                              <w:b/>
                              <w:bCs/>
                              <w:smallCaps/>
                            </w:rPr>
                            <w:t>Table of Contents</w:t>
                          </w:r>
                        </w:p>
                        <w:p>
                          <w:pPr>
                            <w:pStyle w:val="Normal"/>
                            <w:rPr>
                              <w:b/>
                              <w:bCs/>
                              <w:smallCaps/>
                            </w:rPr>
                          </w:pPr>
                          <w:r>
                            <w:rPr>
                              <w:b/>
                              <w:bCs/>
                              <w:smallCaps/>
                            </w:rPr>
                          </w:r>
                        </w:p>
                        <w:p>
                          <w:pPr>
                            <w:pStyle w:val="Normal"/>
                            <w:jc w:val="end"/>
                            <w:rPr/>
                          </w:pPr>
                          <w:r>
                            <w:rPr/>
                          </w:r>
                        </w:p>
                        <w:p>
                          <w:pPr>
                            <w:pStyle w:val="Normal"/>
                            <w:jc w:val="end"/>
                            <w:rPr/>
                          </w:pPr>
                          <w:r>
                            <w:rPr/>
                          </w:r>
                        </w:p>
                      </w:tc>
                    </w:tr>
                    <w:tr>
                      <w:trPr>
                        <w:trHeight w:val="15000" w:hRule="exact"/>
                      </w:trPr>
                      <w:tc>
                        <w:tcPr>
                          <w:tcW w:w="540" w:type="dxa"/>
                          <w:tcBorders>
                            <w:end w:val="double" w:sz="6" w:space="0" w:color="000000"/>
                          </w:tcBorders>
                        </w:tcPr>
                        <w:p>
                          <w:pPr>
                            <w:pStyle w:val="HeaderNumbers"/>
                            <w:snapToGrid w:val="false"/>
                            <w:spacing w:before="700" w:after="0"/>
                            <w:rPr/>
                          </w:pPr>
                          <w:r>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r>
                      <w:trPr>
                        <w:trHeight w:val="15000" w:hRule="exact"/>
                      </w:trPr>
                      <w:tc>
                        <w:tcPr>
                          <w:tcW w:w="540" w:type="dxa"/>
                          <w:tcBorders>
                            <w:end w:val="double" w:sz="6" w:space="0" w:color="000000"/>
                          </w:tcBorders>
                        </w:tcPr>
                        <w:p>
                          <w:pPr>
                            <w:pStyle w:val="HeaderNumbers"/>
                            <w:snapToGrid w:val="false"/>
                            <w:spacing w:before="700" w:after="0"/>
                            <w:rPr>
                              <w:b/>
                              <w:bCs/>
                              <w:smallCaps/>
                            </w:rPr>
                          </w:pPr>
                          <w:r>
                            <w:rPr>
                              <w:b/>
                              <w:bCs/>
                              <w:smallCaps/>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bl>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6826250" cy="9525000"/>
              <wp:effectExtent l="0" t="0" r="0" b="0"/>
              <wp:wrapNone/>
              <wp:docPr id="5" name="Frame5"/>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before="240" w:after="0"/>
      <w:ind w:hanging="720" w:start="720" w:end="0"/>
      <w:outlineLvl w:val="0"/>
    </w:pPr>
    <w:rPr>
      <w:b/>
      <w:bCs/>
    </w:rPr>
  </w:style>
  <w:style w:type="paragraph" w:styleId="Heading2">
    <w:name w:val="heading 2"/>
    <w:basedOn w:val="Heading1"/>
    <w:next w:val="BodyText"/>
    <w:qFormat/>
    <w:pPr>
      <w:numPr>
        <w:ilvl w:val="1"/>
        <w:numId w:val="1"/>
      </w:numPr>
      <w:ind w:hanging="720" w:start="1440" w:end="1440"/>
      <w:outlineLvl w:val="1"/>
    </w:pPr>
    <w:rPr/>
  </w:style>
  <w:style w:type="paragraph" w:styleId="Heading3">
    <w:name w:val="heading 3"/>
    <w:basedOn w:val="Heading2"/>
    <w:next w:val="BodyText"/>
    <w:qFormat/>
    <w:pPr>
      <w:numPr>
        <w:ilvl w:val="2"/>
        <w:numId w:val="1"/>
      </w:numPr>
      <w:ind w:hanging="720" w:start="2160" w:end="1440"/>
      <w:outlineLvl w:val="2"/>
    </w:pPr>
    <w:rPr/>
  </w:style>
  <w:style w:type="paragraph" w:styleId="Heading4">
    <w:name w:val="heading 4"/>
    <w:basedOn w:val="Heading3"/>
    <w:next w:val="BodyText"/>
    <w:qFormat/>
    <w:pPr>
      <w:numPr>
        <w:ilvl w:val="3"/>
        <w:numId w:val="1"/>
      </w:numPr>
      <w:ind w:hanging="720" w:start="2880" w:end="1440"/>
      <w:outlineLvl w:val="3"/>
    </w:pPr>
    <w:rPr/>
  </w:style>
  <w:style w:type="paragraph" w:styleId="Heading5">
    <w:name w:val="heading 5"/>
    <w:basedOn w:val="Heading4"/>
    <w:next w:val="BodyText"/>
    <w:qFormat/>
    <w:pPr>
      <w:numPr>
        <w:ilvl w:val="4"/>
        <w:numId w:val="1"/>
      </w:numPr>
      <w:ind w:hanging="720" w:start="3600" w:end="1440"/>
      <w:outlineLvl w:val="4"/>
    </w:pPr>
    <w:rPr/>
  </w:style>
  <w:style w:type="paragraph" w:styleId="Heading6">
    <w:name w:val="heading 6"/>
    <w:basedOn w:val="Heading5"/>
    <w:next w:val="BodyText"/>
    <w:qFormat/>
    <w:pPr>
      <w:numPr>
        <w:ilvl w:val="5"/>
        <w:numId w:val="1"/>
      </w:numPr>
      <w:ind w:hanging="720" w:start="4320" w:end="1440"/>
      <w:outlineLvl w:val="5"/>
    </w:pPr>
    <w:rPr>
      <w:b w:val="false"/>
      <w:bCs w:val="false"/>
    </w:rPr>
  </w:style>
  <w:style w:type="paragraph" w:styleId="Heading7">
    <w:name w:val="heading 7"/>
    <w:basedOn w:val="Heading6"/>
    <w:next w:val="BodyText"/>
    <w:qFormat/>
    <w:pPr>
      <w:numPr>
        <w:ilvl w:val="6"/>
        <w:numId w:val="1"/>
      </w:numPr>
      <w:ind w:hanging="720" w:start="5040" w:end="1440"/>
      <w:outlineLvl w:val="6"/>
    </w:pPr>
    <w:rPr/>
  </w:style>
  <w:style w:type="paragraph" w:styleId="Heading8">
    <w:name w:val="heading 8"/>
    <w:basedOn w:val="Heading7"/>
    <w:next w:val="BodyText"/>
    <w:qFormat/>
    <w:pPr>
      <w:numPr>
        <w:ilvl w:val="7"/>
        <w:numId w:val="1"/>
      </w:numPr>
      <w:ind w:hanging="720" w:start="5760" w:end="1440"/>
      <w:outlineLvl w:val="7"/>
    </w:pPr>
    <w:rPr/>
  </w:style>
  <w:style w:type="paragraph" w:styleId="Heading9">
    <w:name w:val="heading 9"/>
    <w:basedOn w:val="Heading8"/>
    <w:next w:val="BodyText"/>
    <w:qFormat/>
    <w:pPr>
      <w:numPr>
        <w:ilvl w:val="8"/>
        <w:numId w:val="1"/>
      </w:numPr>
      <w:tabs>
        <w:tab w:val="clear" w:pos="720"/>
        <w:tab w:val="left" w:pos="360" w:leader="none"/>
      </w:tabs>
      <w:ind w:hanging="720" w:start="648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eastAsia="Times New Roman" w:cs="Times New Roman"/>
      <w:color w:val="auto"/>
      <w:spacing w:val="0"/>
      <w:kern w:val="0"/>
      <w:sz w:val="24"/>
      <w:szCs w:val="24"/>
      <w:u w:val="none"/>
      <w:vertAlign w:val="superscript"/>
      <w:lang w:val="en-US"/>
    </w:rPr>
  </w:style>
  <w:style w:type="character" w:styleId="PageNumber">
    <w:name w:val="page number"/>
    <w:basedOn w:val="DefaultParagraphFont"/>
    <w:rPr>
      <w:rFonts w:ascii="Courier New" w:hAnsi="Courier New" w:eastAsia="Courier New" w:cs="Courier New"/>
      <w:color w:val="auto"/>
      <w:spacing w:val="0"/>
      <w:kern w:val="0"/>
      <w:position w:val="0"/>
      <w:sz w:val="24"/>
      <w:sz w:val="24"/>
      <w:szCs w:val="24"/>
      <w:u w:val="none"/>
      <w:vertAlign w:val="baseline"/>
      <w:lang w:val="en-US"/>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240"/>
      <w:ind w:hanging="0" w:start="720" w:end="720"/>
      <w:jc w:val="center"/>
    </w:pPr>
    <w:rPr>
      <w:b/>
      <w:bCs/>
      <w:kern w:val="2"/>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2">
    <w:name w:val="Body Text 2"/>
    <w:basedOn w:val="Normal"/>
    <w:next w:val="BodyText"/>
    <w:qFormat/>
    <w:pPr>
      <w:ind w:hanging="0" w:start="360" w:end="0"/>
    </w:pPr>
    <w:rPr>
      <w:rFonts w:ascii="Courier New" w:hAnsi="Courier New" w:eastAsia="Courier New" w:cs="Courier New"/>
    </w:rPr>
  </w:style>
  <w:style w:type="paragraph" w:styleId="Centered">
    <w:name w:val="Centered"/>
    <w:basedOn w:val="Normal"/>
    <w:next w:val="BodyText"/>
    <w:qFormat/>
    <w:pPr>
      <w:spacing w:before="0" w:after="240"/>
      <w:jc w:val="center"/>
    </w:pPr>
    <w:rPr>
      <w:rFonts w:ascii="Courier New" w:hAnsi="Courier New" w:eastAsia="Courier New" w:cs="Courier New"/>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9821" w:leader="none"/>
      </w:tabs>
    </w:pPr>
    <w:rPr/>
  </w:style>
  <w:style w:type="paragraph" w:styleId="FootnoteText">
    <w:name w:val="footnote text"/>
    <w:basedOn w:val="Normal"/>
    <w:pPr>
      <w:tabs>
        <w:tab w:val="clear" w:pos="720"/>
        <w:tab w:val="left" w:pos="432" w:leader="none"/>
      </w:tabs>
      <w:spacing w:before="0" w:after="120"/>
      <w:ind w:hanging="432" w:start="432" w:end="0"/>
    </w:pPr>
    <w:rPr>
      <w:sz w:val="20"/>
      <w:szCs w:val="20"/>
    </w:rPr>
  </w:style>
  <w:style w:type="paragraph" w:styleId="Header">
    <w:name w:val="header"/>
    <w:basedOn w:val="Normal"/>
    <w:pPr>
      <w:widowControl w:val="false"/>
      <w:tabs>
        <w:tab w:val="clear" w:pos="720"/>
        <w:tab w:val="center" w:pos="4320" w:leader="none"/>
        <w:tab w:val="right" w:pos="9821" w:leader="none"/>
      </w:tabs>
    </w:pPr>
    <w:rPr>
      <w:rFonts w:ascii="Courier New" w:hAnsi="Courier New" w:eastAsia="Courier New" w:cs="Courier New"/>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rFonts w:ascii="Courier New" w:hAnsi="Courier New" w:eastAsia="Courier New" w:cs="Courier New"/>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806" w:leader="dot"/>
      </w:tabs>
      <w:spacing w:before="120" w:after="0"/>
      <w:ind w:hanging="0" w:start="720" w:end="720"/>
    </w:pPr>
    <w:rPr/>
  </w:style>
  <w:style w:type="paragraph" w:styleId="TOAHeading">
    <w:name w:val="TOA Heading"/>
    <w:basedOn w:val="Normal"/>
    <w:next w:val="TableofAuthorities"/>
    <w:qFormat/>
    <w:pPr>
      <w:keepNext w:val="true"/>
      <w:spacing w:before="120" w:after="0"/>
    </w:pPr>
    <w:rPr>
      <w:b/>
      <w:bCs/>
      <w:caps/>
    </w:rPr>
  </w:style>
  <w:style w:type="paragraph" w:styleId="TOC1">
    <w:name w:val="toc 1"/>
    <w:basedOn w:val="Normal"/>
    <w:pPr>
      <w:keepLines/>
      <w:tabs>
        <w:tab w:val="clear" w:pos="720"/>
        <w:tab w:val="right" w:pos="9835" w:leader="dot"/>
      </w:tabs>
      <w:spacing w:before="120" w:after="120"/>
      <w:ind w:hanging="806" w:start="806" w:end="1440"/>
    </w:pPr>
    <w:rPr>
      <w:caps/>
    </w:rPr>
  </w:style>
  <w:style w:type="paragraph" w:styleId="TOC2">
    <w:name w:val="toc 2"/>
    <w:basedOn w:val="Normal"/>
    <w:pPr>
      <w:tabs>
        <w:tab w:val="clear" w:pos="720"/>
        <w:tab w:val="right" w:pos="9835" w:leader="dot"/>
      </w:tabs>
      <w:spacing w:before="120" w:after="0"/>
      <w:ind w:hanging="634" w:start="1440" w:end="1440"/>
    </w:pPr>
    <w:rPr/>
  </w:style>
  <w:style w:type="paragraph" w:styleId="TOC3">
    <w:name w:val="toc 3"/>
    <w:basedOn w:val="Normal"/>
    <w:pPr>
      <w:keepLines/>
      <w:tabs>
        <w:tab w:val="clear" w:pos="720"/>
        <w:tab w:val="right" w:pos="9835" w:leader="dot"/>
      </w:tabs>
      <w:spacing w:before="120" w:after="0"/>
      <w:ind w:hanging="720" w:start="2160" w:end="1440"/>
    </w:pPr>
    <w:rPr/>
  </w:style>
  <w:style w:type="paragraph" w:styleId="TOC4">
    <w:name w:val="toc 4"/>
    <w:basedOn w:val="Normal"/>
    <w:pPr>
      <w:keepLines/>
      <w:tabs>
        <w:tab w:val="clear" w:pos="720"/>
        <w:tab w:val="right" w:pos="9835" w:leader="dot"/>
      </w:tabs>
      <w:spacing w:before="120" w:after="0"/>
      <w:ind w:hanging="720" w:start="2880" w:end="1440"/>
    </w:pPr>
    <w:rPr/>
  </w:style>
  <w:style w:type="paragraph" w:styleId="TOC5">
    <w:name w:val="toc 5"/>
    <w:basedOn w:val="Normal"/>
    <w:pPr>
      <w:keepLines/>
      <w:tabs>
        <w:tab w:val="clear" w:pos="720"/>
        <w:tab w:val="right" w:pos="9835" w:leader="dot"/>
      </w:tabs>
      <w:spacing w:before="120" w:after="0"/>
      <w:ind w:hanging="720" w:start="3600" w:end="1440"/>
    </w:pPr>
    <w:rPr/>
  </w:style>
  <w:style w:type="paragraph" w:styleId="TOC6">
    <w:name w:val="toc 6"/>
    <w:basedOn w:val="Normal"/>
    <w:pPr>
      <w:keepLines/>
      <w:tabs>
        <w:tab w:val="clear" w:pos="720"/>
        <w:tab w:val="right" w:pos="9835" w:leader="dot"/>
      </w:tabs>
      <w:spacing w:before="120" w:after="0"/>
      <w:ind w:hanging="720" w:start="4320" w:end="1440"/>
    </w:pPr>
    <w:rPr/>
  </w:style>
  <w:style w:type="paragraph" w:styleId="TOC7">
    <w:name w:val="toc 7"/>
    <w:basedOn w:val="Normal"/>
    <w:pPr>
      <w:keepLines/>
      <w:tabs>
        <w:tab w:val="clear" w:pos="720"/>
        <w:tab w:val="right" w:pos="9835" w:leader="dot"/>
      </w:tabs>
      <w:spacing w:before="120" w:after="0"/>
      <w:ind w:hanging="806" w:start="5126" w:end="1440"/>
    </w:pPr>
    <w:rPr/>
  </w:style>
  <w:style w:type="paragraph" w:styleId="TOC8">
    <w:name w:val="toc 8"/>
    <w:basedOn w:val="Normal"/>
    <w:pPr>
      <w:keepLines/>
      <w:tabs>
        <w:tab w:val="clear" w:pos="720"/>
        <w:tab w:val="right" w:pos="9835" w:leader="dot"/>
      </w:tabs>
      <w:spacing w:before="120" w:after="0"/>
      <w:ind w:hanging="634" w:start="5760" w:end="1440"/>
    </w:pPr>
    <w:rPr/>
  </w:style>
  <w:style w:type="paragraph" w:styleId="TOC9">
    <w:name w:val="toc 9"/>
    <w:basedOn w:val="Normal"/>
    <w:pPr>
      <w:keepLines/>
      <w:tabs>
        <w:tab w:val="clear" w:pos="720"/>
        <w:tab w:val="right" w:pos="9835" w:leader="dot"/>
      </w:tabs>
      <w:spacing w:before="120" w:after="0"/>
      <w:ind w:hanging="720" w:start="6480" w:end="1440"/>
    </w:pPr>
    <w:rPr/>
  </w:style>
  <w:style w:type="paragraph" w:styleId="EnvelopeAddress">
    <w:name w:val="envelope address"/>
    <w:basedOn w:val="Normal"/>
    <w:pPr>
      <w:ind w:hanging="0" w:start="2880" w:end="0"/>
    </w:pPr>
    <w:rPr>
      <w:rFonts w:ascii="Courier New" w:hAnsi="Courier New" w:eastAsia="Courier New" w:cs="Courier New"/>
    </w:rPr>
  </w:style>
  <w:style w:type="paragraph" w:styleId="HeaderNumbersOld">
    <w:name w:val="HeaderNumbersOld"/>
    <w:basedOn w:val="Normal"/>
    <w:qFormat/>
    <w:pPr>
      <w:spacing w:lineRule="exact" w:line="480" w:before="720" w:after="0"/>
      <w:ind w:hanging="0" w:start="0" w:end="144"/>
      <w:jc w:val="end"/>
    </w:pPr>
    <w:rPr/>
  </w:style>
  <w:style w:type="paragraph" w:styleId="Quote">
    <w:name w:val="Quote"/>
    <w:basedOn w:val="Normal"/>
    <w:next w:val="Normal"/>
    <w:qFormat/>
    <w:pPr>
      <w:spacing w:before="240" w:after="0"/>
      <w:ind w:hanging="0" w:start="1440" w:end="1440"/>
    </w:pPr>
    <w:rPr/>
  </w:style>
  <w:style w:type="paragraph" w:styleId="SDP">
    <w:name w:val="SDP"/>
    <w:basedOn w:val="Normal"/>
    <w:qFormat/>
    <w:pPr>
      <w:spacing w:lineRule="auto" w:line="240"/>
      <w:jc w:val="center"/>
    </w:pPr>
    <w:rPr/>
  </w:style>
  <w:style w:type="paragraph" w:styleId="LineNumbers">
    <w:name w:val="LineNumbers"/>
    <w:basedOn w:val="Normal"/>
    <w:qFormat/>
    <w:pPr>
      <w:spacing w:lineRule="auto" w:line="240"/>
      <w:jc w:val="end"/>
    </w:pPr>
    <w:rPr>
      <w:sz w:val="18"/>
      <w:szCs w:val="18"/>
    </w:rPr>
  </w:style>
  <w:style w:type="paragraph" w:styleId="SingleSpacing">
    <w:name w:val="Single Spacing"/>
    <w:basedOn w:val="Normal"/>
    <w:qFormat/>
    <w:pPr>
      <w:spacing w:lineRule="exact" w:line="249"/>
    </w:pPr>
    <w:rPr/>
  </w:style>
  <w:style w:type="paragraph" w:styleId="Address">
    <w:name w:val="Address"/>
    <w:basedOn w:val="SingleSpacing"/>
    <w:qFormat/>
    <w:pPr/>
    <w:rPr/>
  </w:style>
  <w:style w:type="paragraph" w:styleId="DoubleSpacing">
    <w:name w:val="Double Spacing"/>
    <w:basedOn w:val="Normal"/>
    <w:qFormat/>
    <w:pPr>
      <w:spacing w:lineRule="auto" w:line="240"/>
    </w:pPr>
    <w:rPr>
      <w:sz w:val="18"/>
      <w:szCs w:val="18"/>
    </w:rPr>
  </w:style>
  <w:style w:type="paragraph" w:styleId="CourtName">
    <w:name w:val="CourtName"/>
    <w:basedOn w:val="Normal"/>
    <w:qFormat/>
    <w:pPr>
      <w:spacing w:lineRule="auto" w:line="240"/>
      <w:jc w:val="center"/>
    </w:pPr>
    <w:rPr/>
  </w:style>
  <w:style w:type="paragraph" w:styleId="indentsingle">
    <w:name w:val="indent single"/>
    <w:basedOn w:val="Heading3"/>
    <w:qFormat/>
    <w:pPr>
      <w:numPr>
        <w:ilvl w:val="0"/>
        <w:numId w:val="0"/>
      </w:numPr>
      <w:tabs>
        <w:tab w:val="clear" w:pos="720"/>
        <w:tab w:val="left" w:pos="360" w:leader="none"/>
      </w:tabs>
      <w:spacing w:lineRule="exact" w:line="249" w:before="249" w:after="249"/>
      <w:ind w:hanging="720" w:start="1440" w:end="1440"/>
      <w:outlineLvl w:val="9"/>
    </w:pPr>
    <w:rPr>
      <w:b w:val="false"/>
      <w:bCs w:val="false"/>
    </w:rPr>
  </w:style>
  <w:style w:type="paragraph" w:styleId="normalpara">
    <w:name w:val="normal para"/>
    <w:basedOn w:val="Normal"/>
    <w:qFormat/>
    <w:pPr>
      <w:spacing w:lineRule="auto" w:line="480"/>
      <w:ind w:firstLine="1440" w:start="0" w:end="0"/>
    </w:pPr>
    <w:rPr>
      <w:sz w:val="25"/>
      <w:szCs w:val="25"/>
    </w:rPr>
  </w:style>
  <w:style w:type="paragraph" w:styleId="QA">
    <w:name w:val="QA"/>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exact" w:line="480"/>
      <w:ind w:hanging="720" w:start="720" w:end="0"/>
    </w:pPr>
    <w:rPr/>
  </w:style>
  <w:style w:type="paragraph" w:styleId="QA-text">
    <w:name w:val="QA - text"/>
    <w:basedOn w:val="QA"/>
    <w:qFormat/>
    <w:pPr>
      <w:ind w:firstLine="720" w:start="720" w:end="0"/>
    </w:pPr>
    <w:rPr/>
  </w:style>
  <w:style w:type="paragraph" w:styleId="indentquote">
    <w:name w:val="indent quote"/>
    <w:basedOn w:val="NormalIndent"/>
    <w:qFormat/>
    <w:pPr>
      <w:spacing w:lineRule="exact" w:line="249"/>
      <w:ind w:hanging="0" w:start="1440" w:end="1584"/>
    </w:pPr>
    <w:rPr/>
  </w:style>
  <w:style w:type="paragraph" w:styleId="testimonyheader">
    <w:name w:val="testimony header"/>
    <w:basedOn w:val="Normal"/>
    <w:next w:val="Heading1"/>
    <w:qFormat/>
    <w:pPr>
      <w:spacing w:lineRule="exact" w:line="480" w:before="0" w:after="480"/>
      <w:jc w:val="center"/>
    </w:pPr>
    <w:rPr>
      <w:caps/>
    </w:rPr>
  </w:style>
  <w:style w:type="paragraph" w:styleId="Footnote-Testimony">
    <w:name w:val="Footnote - Testimony"/>
    <w:basedOn w:val="Normal"/>
    <w:qFormat/>
    <w:pPr>
      <w:spacing w:lineRule="auto" w:line="240"/>
      <w:ind w:hanging="720" w:start="720" w:end="0"/>
    </w:pPr>
    <w:rPr>
      <w:sz w:val="20"/>
      <w:szCs w:val="20"/>
    </w:rPr>
  </w:style>
  <w:style w:type="paragraph" w:styleId="Normal-Testimony">
    <w:name w:val="Normal - Testimony"/>
    <w:basedOn w:val="testimonyheader"/>
    <w:qFormat/>
    <w:pPr>
      <w:spacing w:before="0" w:after="0"/>
      <w:ind w:firstLine="432" w:start="0" w:end="0"/>
      <w:jc w:val="start"/>
    </w:pPr>
    <w:rPr>
      <w:caps w:val="false"/>
      <w:smallCaps w:val="false"/>
    </w:rPr>
  </w:style>
  <w:style w:type="paragraph" w:styleId="bodytext2-unindent">
    <w:name w:val="body text 2 - unindent"/>
    <w:basedOn w:val="Normal"/>
    <w:qFormat/>
    <w:pPr>
      <w:tabs>
        <w:tab w:val="clear" w:pos="720"/>
        <w:tab w:val="left" w:pos="288" w:leader="none"/>
      </w:tabs>
      <w:spacing w:lineRule="exact" w:line="480"/>
      <w:ind w:hanging="0" w:start="864" w:end="0"/>
    </w:pPr>
    <w:rPr/>
  </w:style>
  <w:style w:type="paragraph" w:styleId="bodytext21">
    <w:name w:val="body text 21"/>
    <w:basedOn w:val="Normal"/>
    <w:qFormat/>
    <w:pPr>
      <w:tabs>
        <w:tab w:val="clear" w:pos="720"/>
        <w:tab w:val="left" w:pos="288" w:leader="none"/>
      </w:tabs>
      <w:spacing w:lineRule="exact" w:line="480"/>
      <w:ind w:firstLine="432" w:start="864" w:end="0"/>
    </w:pPr>
    <w:rPr/>
  </w:style>
  <w:style w:type="paragraph" w:styleId="bodytext3">
    <w:name w:val="body text 3"/>
    <w:basedOn w:val="Normal"/>
    <w:qFormat/>
    <w:pPr>
      <w:tabs>
        <w:tab w:val="clear" w:pos="720"/>
        <w:tab w:val="left" w:pos="288" w:leader="none"/>
      </w:tabs>
      <w:spacing w:lineRule="exact" w:line="480"/>
      <w:ind w:firstLine="432" w:start="1296"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2000-06-30T15:48:00Z</dcterms:created>
  <dc:creator>Stephanie Louie</dc:creator>
  <dc:description/>
  <dc:language>en-CA</dc:language>
  <cp:lastModifiedBy>Stephanie Louie</cp:lastModifiedBy>
  <cp:lastPrinted>2000-07-07T11:20:00Z</cp:lastPrinted>
  <dcterms:modified xsi:type="dcterms:W3CDTF">2000-07-07T15:50:00Z</dcterms:modified>
  <cp:revision>16</cp:revision>
  <dc:subject/>
  <dc:title>BEFORE THE</dc:title>
</cp:coreProperties>
</file>