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Bow River Trust</w:t>
      </w:r>
    </w:p>
    <w:p>
      <w:pPr>
        <w:pStyle w:val="Header"/>
        <w:tabs>
          <w:tab w:val="clear" w:pos="4320"/>
          <w:tab w:val="clear" w:pos="8640"/>
          <w:tab w:val="left" w:pos="0" w:leader="none"/>
          <w:tab w:val="right" w:pos="5784" w:leader="none"/>
        </w:tabs>
        <w:rPr>
          <w:rFonts w:ascii="Times New Roman" w:hAnsi="Times New Roman" w:cs="Times New Roman"/>
        </w:rPr>
      </w:pPr>
      <w:r>
        <w:rPr>
          <w:rFonts w:cs="Times New Roman" w:ascii="Times New Roman" w:hAnsi="Times New Roman"/>
        </w:rPr>
        <w:t>[ADDRESS]</w:t>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xml:space="preserve">”), I am familiar with the Enron Corp. Guaranty, dated as of September ___, 2000, (the “Guaranty”) in favor of Bow River Trust in connection with the Swap Transaction pursuant to the ISDA Master Agreement dated as of September___, 2000, between Bow River Trust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op336coa-704013efb1891107a5acf54d9045acfc176d3cdd2e7385266e261d17f3fe8d03.doc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op336coa-704013efb1891107a5acf54d9045acfc176d3cdd2e7385266e261d17f3fe8d03.doc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2000-09-19T13:40:00Z</dcterms:created>
  <dc:creator>A&amp;K</dc:creator>
  <dc:description/>
  <dc:language>en-CA</dc:language>
  <cp:lastModifiedBy>cabrams</cp:lastModifiedBy>
  <cp:lastPrinted>2000-07-12T16:11:00Z</cp:lastPrinted>
  <dcterms:modified xsi:type="dcterms:W3CDTF">2000-09-19T13:52:00Z</dcterms:modified>
  <cp:revision>6</cp:revision>
  <dc:subject/>
  <dc:title>James V Derrick, Jr</dc:title>
</cp:coreProperties>
</file>