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BodyText"/>
        <w:rPr/>
      </w:pPr>
      <w:r>
        <w:rPr/>
        <w:t>EBR Registry Number:  RA01E0020</w:t>
      </w:r>
    </w:p>
    <w:p>
      <w:pPr>
        <w:pStyle w:val="BodyText"/>
        <w:rPr>
          <w:rFonts w:eastAsia="Arial Unicode MS"/>
        </w:rPr>
      </w:pPr>
      <w:r>
        <w:rPr/>
        <w:t>John Hutchison, Senior Policy Adviser</w:t>
        <w:br/>
        <w:t>Air Policy and Climate Change</w:t>
        <w:br/>
        <w:t>4th floor, 135 St. Clair Avenue West</w:t>
        <w:br/>
        <w:t>Toronto, Ontario, M4V 1P5</w:t>
        <w:br/>
        <w:t xml:space="preserve"> </w:t>
      </w:r>
    </w:p>
    <w:p>
      <w:pPr>
        <w:pStyle w:val="Normal"/>
        <w:rPr>
          <w:rFonts w:eastAsia="Arial Unicode MS"/>
        </w:rPr>
      </w:pPr>
      <w:r>
        <w:rPr>
          <w:rFonts w:eastAsia="Arial Unicode MS"/>
        </w:rPr>
      </w:r>
    </w:p>
    <w:p>
      <w:pPr>
        <w:pStyle w:val="Normal"/>
        <w:ind w:firstLine="720" w:end="0"/>
        <w:rPr>
          <w:b/>
        </w:rPr>
      </w:pPr>
      <w:r>
        <w:rPr>
          <w:b/>
        </w:rPr>
        <w:t xml:space="preserve">RE:  </w:t>
        <w:tab/>
        <w:t>Consultation on the Proposed Ontario Emissions Trading Regulation</w:t>
      </w:r>
    </w:p>
    <w:p>
      <w:pPr>
        <w:pStyle w:val="Normal"/>
        <w:ind w:firstLine="720" w:start="720" w:end="0"/>
        <w:rPr>
          <w:b/>
        </w:rPr>
      </w:pPr>
      <w:r>
        <w:rPr>
          <w:b/>
        </w:rPr>
        <w:t>Comments of Enron Canada and Enron Corp</w:t>
      </w:r>
    </w:p>
    <w:p>
      <w:pPr>
        <w:pStyle w:val="Normal"/>
        <w:pBdr>
          <w:bottom w:val="single" w:sz="12" w:space="1" w:color="000000"/>
        </w:pBdr>
        <w:rPr/>
      </w:pPr>
      <w:r>
        <w:rPr/>
      </w:r>
    </w:p>
    <w:p>
      <w:pPr>
        <w:pStyle w:val="Normal"/>
        <w:rPr/>
      </w:pPr>
      <w:r>
        <w:rPr/>
      </w:r>
    </w:p>
    <w:p>
      <w:pPr>
        <w:pStyle w:val="Normal"/>
        <w:rPr/>
      </w:pPr>
      <w:r>
        <w:rPr/>
        <w:t>Enron welcomes the opportunity to submit comments to the Ontario Ministry of Environment (MOE) on the proposed Ontario Emissions Trading Regulation.</w:t>
      </w:r>
    </w:p>
    <w:p>
      <w:pPr>
        <w:pStyle w:val="Normal"/>
        <w:rPr/>
      </w:pPr>
      <w:r>
        <w:rPr/>
      </w:r>
    </w:p>
    <w:p>
      <w:pPr>
        <w:pStyle w:val="Normal"/>
        <w:rPr/>
      </w:pPr>
      <w:r>
        <w:rPr/>
        <w:t xml:space="preserve">Enron, based in Houston, Texas, is the one of the world’s leading energy companies with global expertise in power and emissions trading and risk management.  Enron Canada is a subsidiary of Enron with offices in Calgary, Alberta and Toronto, Ontario. </w:t>
      </w:r>
    </w:p>
    <w:p>
      <w:pPr>
        <w:pStyle w:val="Normal"/>
        <w:rPr/>
      </w:pPr>
      <w:r>
        <w:rPr/>
      </w:r>
    </w:p>
    <w:p>
      <w:pPr>
        <w:pStyle w:val="Normal"/>
        <w:rPr/>
      </w:pPr>
      <w:r>
        <w:rPr/>
        <w:t>A number of Enron’s commercial activities in North America will be affected by Ontario’s emissions trading program when it is enacted, including:</w:t>
      </w:r>
    </w:p>
    <w:p>
      <w:pPr>
        <w:pStyle w:val="Normal"/>
        <w:rPr/>
      </w:pPr>
      <w:r>
        <w:rPr/>
      </w:r>
    </w:p>
    <w:p>
      <w:pPr>
        <w:pStyle w:val="Normal"/>
        <w:numPr>
          <w:ilvl w:val="0"/>
          <w:numId w:val="3"/>
        </w:numPr>
        <w:rPr/>
      </w:pPr>
      <w:r>
        <w:rPr/>
        <w:t xml:space="preserve">Trading, marketing, risk management, and other financial services related to energy commodities including electric power, natural gas, coal, fuels, and emissions allowances.  </w:t>
      </w:r>
    </w:p>
    <w:p>
      <w:pPr>
        <w:pStyle w:val="Normal"/>
        <w:numPr>
          <w:ilvl w:val="0"/>
          <w:numId w:val="3"/>
        </w:numPr>
        <w:rPr/>
      </w:pPr>
      <w:r>
        <w:rPr/>
        <w:t>Development, investment and finance of new power generation – including natural gas combined cycle, cogeneration or combined heat and power (CHP) systems, and renewable energy as a merchant or for customers – and environmental technologies.</w:t>
      </w:r>
    </w:p>
    <w:p>
      <w:pPr>
        <w:pStyle w:val="Normal"/>
        <w:numPr>
          <w:ilvl w:val="0"/>
          <w:numId w:val="3"/>
        </w:numPr>
        <w:rPr/>
      </w:pPr>
      <w:r>
        <w:rPr/>
        <w:t>Providing retail energy services, including energy management, engineering, and energy efficiency services.</w:t>
      </w:r>
    </w:p>
    <w:p>
      <w:pPr>
        <w:pStyle w:val="Normal"/>
        <w:rPr/>
      </w:pPr>
      <w:r>
        <w:rPr/>
      </w:r>
    </w:p>
    <w:p>
      <w:pPr>
        <w:pStyle w:val="Normal"/>
        <w:rPr/>
      </w:pPr>
      <w:r>
        <w:rPr/>
        <w:t>In an increasingly competitive energy marketplace, Enron is primarily interested in establishing a level playing field in environmental regulation in which the development of critical new energy supply and improvement in efficiency of existing generators are balanced together to meet long-term environmental goals economically.  To this end, we have supported energy liberalization and emissions trading as cost-effective vehicles to meet energy supply and environmental objectives.  Enron’s direct experience in electricity and emissions markets in the U.S. and Europe has helped our customers reduce the cost of compliance with environmental regulations while meeting their energy supply needs.</w:t>
      </w:r>
    </w:p>
    <w:p>
      <w:pPr>
        <w:pStyle w:val="Normal"/>
        <w:rPr/>
      </w:pPr>
      <w:r>
        <w:rPr/>
      </w:r>
    </w:p>
    <w:p>
      <w:pPr>
        <w:pStyle w:val="Normal"/>
        <w:rPr/>
      </w:pPr>
      <w:r>
        <w:rPr/>
        <w:t xml:space="preserve">In the U.S., we have promoted emissions cap and trade systems as frameworks to address multiple emissions reduction strategies.  In 2000, Enron helped to launch the Clean Power Group, a coalition of power generators that advocates national, multi-pollutant emission reduction programs.  The Clean Power Group’s multi-pollutant proposal combines cap and trade market forces with regulatory reform in lieu of command and control approaches to reduce emissions.  </w:t>
      </w:r>
    </w:p>
    <w:p>
      <w:pPr>
        <w:pStyle w:val="Normal"/>
        <w:rPr/>
      </w:pPr>
      <w:r>
        <w:rPr/>
      </w:r>
    </w:p>
    <w:p>
      <w:pPr>
        <w:pStyle w:val="Normal"/>
        <w:rPr/>
      </w:pPr>
      <w:r>
        <w:rPr/>
        <w:t>As energy markets become increasingly competitive, greater certainty over environmental performance obligations and flexibility in meeting them will be critical.  To achieve Canada’s long-term energy and environmental goals, command-and-control regulation must be replaced with effective market-based systems, like the proposed cap and trade program under consideration in Ontario.  Ensuring a level playing field for participants under Ontario’s trading scheme is a key component to capturing market efficiencies, which enable greater environmental performance at lower costs.  Competition and equal treatment are foundations to any sound and workable emissions trading program.</w:t>
      </w:r>
    </w:p>
    <w:p>
      <w:pPr>
        <w:pStyle w:val="Normal"/>
        <w:rPr/>
      </w:pPr>
      <w:r>
        <w:rPr/>
      </w:r>
    </w:p>
    <w:p>
      <w:pPr>
        <w:pStyle w:val="SectionHeader1"/>
        <w:spacing w:before="0" w:after="0"/>
        <w:rPr>
          <w:caps w:val="false"/>
          <w:smallCaps w:val="false"/>
        </w:rPr>
      </w:pPr>
      <w:r>
        <w:rPr>
          <w:caps w:val="false"/>
          <w:smallCaps w:val="false"/>
        </w:rPr>
        <w:t>Comments on the Proposed Emissions Trading Program</w:t>
      </w:r>
    </w:p>
    <w:p>
      <w:pPr>
        <w:pStyle w:val="Normal"/>
        <w:rPr>
          <w:caps/>
        </w:rPr>
      </w:pPr>
      <w:r>
        <w:rPr>
          <w:caps/>
        </w:rPr>
      </w:r>
    </w:p>
    <w:p>
      <w:pPr>
        <w:pStyle w:val="Normal"/>
        <w:autoSpaceDE w:val="false"/>
        <w:rPr>
          <w:color w:val="000000"/>
        </w:rPr>
      </w:pPr>
      <w:r>
        <w:rPr>
          <w:color w:val="000000"/>
        </w:rPr>
        <w:t>Enron supports Ontario's goal of developing a cross-border cap and trade system for nitric oxide (NO) and sulphur dioxide (SO2) emissions from the electric generation sector.  For the emissions trading system to be workable, it should provide for:</w:t>
      </w:r>
    </w:p>
    <w:p>
      <w:pPr>
        <w:pStyle w:val="Normal"/>
        <w:autoSpaceDE w:val="false"/>
        <w:rPr>
          <w:color w:val="000000"/>
        </w:rPr>
      </w:pPr>
      <w:r>
        <w:rPr>
          <w:color w:val="000000"/>
        </w:rPr>
      </w:r>
    </w:p>
    <w:p>
      <w:pPr>
        <w:pStyle w:val="Normal"/>
        <w:numPr>
          <w:ilvl w:val="0"/>
          <w:numId w:val="4"/>
        </w:numPr>
        <w:autoSpaceDE w:val="false"/>
        <w:rPr>
          <w:color w:val="000000"/>
        </w:rPr>
      </w:pPr>
      <w:r>
        <w:rPr>
          <w:color w:val="000000"/>
        </w:rPr>
        <w:t>broad participation, under one set of rules;</w:t>
      </w:r>
    </w:p>
    <w:p>
      <w:pPr>
        <w:pStyle w:val="Normal"/>
        <w:numPr>
          <w:ilvl w:val="0"/>
          <w:numId w:val="4"/>
        </w:numPr>
        <w:autoSpaceDE w:val="false"/>
        <w:rPr>
          <w:color w:val="000000"/>
        </w:rPr>
      </w:pPr>
      <w:r>
        <w:rPr>
          <w:color w:val="000000"/>
        </w:rPr>
        <w:t xml:space="preserve">market liquidity;  </w:t>
      </w:r>
    </w:p>
    <w:p>
      <w:pPr>
        <w:pStyle w:val="Normal"/>
        <w:numPr>
          <w:ilvl w:val="0"/>
          <w:numId w:val="4"/>
        </w:numPr>
        <w:autoSpaceDE w:val="false"/>
        <w:rPr>
          <w:color w:val="000000"/>
        </w:rPr>
      </w:pPr>
      <w:r>
        <w:rPr>
          <w:color w:val="000000"/>
        </w:rPr>
        <w:t>evenhanded-treatment of all affected sources;</w:t>
      </w:r>
    </w:p>
    <w:p>
      <w:pPr>
        <w:pStyle w:val="Normal"/>
        <w:numPr>
          <w:ilvl w:val="0"/>
          <w:numId w:val="4"/>
        </w:numPr>
        <w:autoSpaceDE w:val="false"/>
        <w:rPr>
          <w:color w:val="000000"/>
        </w:rPr>
      </w:pPr>
      <w:r>
        <w:rPr>
          <w:color w:val="000000"/>
        </w:rPr>
        <w:t>rule simplicity; and</w:t>
      </w:r>
    </w:p>
    <w:p>
      <w:pPr>
        <w:pStyle w:val="Normal"/>
        <w:numPr>
          <w:ilvl w:val="0"/>
          <w:numId w:val="4"/>
        </w:numPr>
        <w:autoSpaceDE w:val="false"/>
        <w:rPr>
          <w:color w:val="000000"/>
        </w:rPr>
      </w:pPr>
      <w:r>
        <w:rPr>
          <w:color w:val="000000"/>
        </w:rPr>
        <w:t xml:space="preserve">an established, clearly defined commodity.  </w:t>
      </w:r>
    </w:p>
    <w:p>
      <w:pPr>
        <w:pStyle w:val="Normal"/>
        <w:autoSpaceDE w:val="false"/>
        <w:rPr>
          <w:color w:val="000000"/>
        </w:rPr>
      </w:pPr>
      <w:r>
        <w:rPr>
          <w:color w:val="000000"/>
        </w:rPr>
      </w:r>
    </w:p>
    <w:p>
      <w:pPr>
        <w:pStyle w:val="Normal"/>
        <w:autoSpaceDE w:val="false"/>
        <w:rPr>
          <w:color w:val="000000"/>
        </w:rPr>
      </w:pPr>
      <w:r>
        <w:rPr>
          <w:color w:val="000000"/>
        </w:rPr>
        <w:t>Achieving these objectives is possible, and the proposed regulation serves as a valuable foundation to build upon.  However, Enron urges the MOE to reconsider several areas that are directly linked to the program’s success in meeting its environmental and energy delivery goals.  Specifically, further clarification and modifications are required prior to finalizing the regulation on sections including:</w:t>
      </w:r>
    </w:p>
    <w:p>
      <w:pPr>
        <w:pStyle w:val="Normal"/>
        <w:autoSpaceDE w:val="false"/>
        <w:rPr>
          <w:color w:val="000000"/>
        </w:rPr>
      </w:pPr>
      <w:r>
        <w:rPr>
          <w:color w:val="000000"/>
        </w:rPr>
      </w:r>
    </w:p>
    <w:p>
      <w:pPr>
        <w:pStyle w:val="Normal"/>
        <w:numPr>
          <w:ilvl w:val="0"/>
          <w:numId w:val="5"/>
        </w:numPr>
        <w:autoSpaceDE w:val="false"/>
        <w:rPr>
          <w:color w:val="000000"/>
        </w:rPr>
      </w:pPr>
      <w:r>
        <w:rPr>
          <w:color w:val="000000"/>
        </w:rPr>
        <w:t>allocation of allowances;</w:t>
      </w:r>
    </w:p>
    <w:p>
      <w:pPr>
        <w:pStyle w:val="Normal"/>
        <w:numPr>
          <w:ilvl w:val="0"/>
          <w:numId w:val="5"/>
        </w:numPr>
        <w:autoSpaceDE w:val="false"/>
        <w:rPr>
          <w:color w:val="000000"/>
        </w:rPr>
      </w:pPr>
      <w:r>
        <w:rPr>
          <w:color w:val="000000"/>
        </w:rPr>
        <w:t>programmatic framework;</w:t>
      </w:r>
    </w:p>
    <w:p>
      <w:pPr>
        <w:pStyle w:val="Normal"/>
        <w:numPr>
          <w:ilvl w:val="0"/>
          <w:numId w:val="5"/>
        </w:numPr>
        <w:autoSpaceDE w:val="false"/>
        <w:rPr>
          <w:color w:val="000000"/>
        </w:rPr>
      </w:pPr>
      <w:r>
        <w:rPr>
          <w:color w:val="000000"/>
        </w:rPr>
        <w:t xml:space="preserve">treatment of new sources and renewable energy generation; and </w:t>
      </w:r>
    </w:p>
    <w:p>
      <w:pPr>
        <w:pStyle w:val="Normal"/>
        <w:numPr>
          <w:ilvl w:val="0"/>
          <w:numId w:val="5"/>
        </w:numPr>
        <w:autoSpaceDE w:val="false"/>
        <w:rPr>
          <w:color w:val="000000"/>
        </w:rPr>
      </w:pPr>
      <w:r>
        <w:rPr>
          <w:color w:val="000000"/>
        </w:rPr>
        <w:t xml:space="preserve">emission reduction credit generation </w:t>
      </w:r>
    </w:p>
    <w:p>
      <w:pPr>
        <w:pStyle w:val="Normal"/>
        <w:autoSpaceDE w:val="false"/>
        <w:rPr>
          <w:color w:val="000000"/>
        </w:rPr>
      </w:pPr>
      <w:r>
        <w:rPr>
          <w:color w:val="000000"/>
        </w:rPr>
      </w:r>
    </w:p>
    <w:p>
      <w:pPr>
        <w:pStyle w:val="Normal"/>
        <w:autoSpaceDE w:val="false"/>
        <w:rPr>
          <w:color w:val="000000"/>
        </w:rPr>
      </w:pPr>
      <w:r>
        <w:rPr>
          <w:color w:val="000000"/>
        </w:rPr>
        <w:t xml:space="preserve">It is Enron’s view that these clarifications and modifications can be undertaken prior to market opening in early 2002 and are consistent with quick movement toward market opening for the electricity sector.  Efficiencies in energy delivery will be enhanced through the establishment of open markets in the Province.   In Enron’s view, any further delay in market opening will delay environmental benefits that are associated with competition and consumer choice. </w:t>
      </w:r>
    </w:p>
    <w:p>
      <w:pPr>
        <w:pStyle w:val="Normal"/>
        <w:autoSpaceDE w:val="false"/>
        <w:rPr>
          <w:color w:val="000000"/>
        </w:rPr>
      </w:pPr>
      <w:r>
        <w:rPr>
          <w:color w:val="000000"/>
        </w:rPr>
      </w:r>
    </w:p>
    <w:p>
      <w:pPr>
        <w:pStyle w:val="Heading4"/>
        <w:ind w:hanging="0" w:start="0"/>
        <w:rPr>
          <w:i w:val="false"/>
          <w:i w:val="false"/>
        </w:rPr>
      </w:pPr>
      <w:r>
        <w:rPr>
          <w:i w:val="false"/>
        </w:rPr>
        <w:t>Allocation of Allowances</w:t>
      </w:r>
    </w:p>
    <w:p>
      <w:pPr>
        <w:pStyle w:val="Heading4"/>
        <w:ind w:hanging="0" w:start="0"/>
        <w:rPr>
          <w:i w:val="false"/>
          <w:i w:val="false"/>
          <w:color w:val="0000FF"/>
        </w:rPr>
      </w:pPr>
      <w:r>
        <w:rPr>
          <w:i w:val="false"/>
          <w:color w:val="0000FF"/>
        </w:rPr>
      </w:r>
    </w:p>
    <w:p>
      <w:pPr>
        <w:pStyle w:val="BodyText2"/>
        <w:rPr>
          <w:color w:val="000000"/>
        </w:rPr>
      </w:pPr>
      <w:r>
        <w:rPr>
          <w:color w:val="000000"/>
        </w:rPr>
        <w:t>Ontario has clearly stated its intent to move to a competitive electricity market.  By giving Ontario Power Generation (OPG) the bulk of the allocations on a “fixed basis,” MOE is effectively creating barriers to entry in the power market for new generators.  Several aspects of the allocation methodology should be revised to insure equitable treatment of all sources, to encourage liquidity in the trading markets, and to achieve emissions reductions at least cost.  In broad terms the critical areas that need redress are as follows:</w:t>
      </w:r>
    </w:p>
    <w:p>
      <w:pPr>
        <w:pStyle w:val="BodyText2"/>
        <w:rPr>
          <w:color w:val="000000"/>
        </w:rPr>
      </w:pPr>
      <w:r>
        <w:rPr>
          <w:color w:val="000000"/>
        </w:rPr>
      </w:r>
    </w:p>
    <w:p>
      <w:pPr>
        <w:pStyle w:val="Normal"/>
        <w:numPr>
          <w:ilvl w:val="0"/>
          <w:numId w:val="6"/>
        </w:numPr>
        <w:autoSpaceDE w:val="false"/>
        <w:rPr>
          <w:color w:val="000000"/>
        </w:rPr>
      </w:pPr>
      <w:r>
        <w:rPr>
          <w:color w:val="000000"/>
        </w:rPr>
        <w:t>Allocations should be based on an output-based standard that promotes efficiency and treats all sources equitably.  An upfront output-based standard will also serve to increase certainty in the market about the availability of allowances.  The current methodology, which awards allowances to non-OPG generators on a retrospective basis, creates a high level of uncertainty in the market for independent generators.  Independent generators will have no way of knowing if there will be enough allowances the following year to cover their emissions, and will not be able to plan their operations appropriately.  OPG is under no obligation to sell its allowances to other generators or participate in trading of allowances, and therefore is in the position by this allocation methodology to create competitive barriers for independent generators.</w:t>
      </w:r>
    </w:p>
    <w:p>
      <w:pPr>
        <w:pStyle w:val="Normal"/>
        <w:autoSpaceDE w:val="false"/>
        <w:rPr>
          <w:color w:val="000000"/>
        </w:rPr>
      </w:pPr>
      <w:r>
        <w:rPr>
          <w:color w:val="000000"/>
        </w:rPr>
      </w:r>
    </w:p>
    <w:p>
      <w:pPr>
        <w:pStyle w:val="Normal"/>
        <w:numPr>
          <w:ilvl w:val="0"/>
          <w:numId w:val="6"/>
        </w:numPr>
        <w:autoSpaceDE w:val="false"/>
        <w:rPr>
          <w:color w:val="000000"/>
        </w:rPr>
      </w:pPr>
      <w:r>
        <w:rPr>
          <w:color w:val="000000"/>
        </w:rPr>
        <w:t xml:space="preserve">Partitioning the NOx allowance cap into separate “pools” creates barriers to liquidity in a cap and trade program.  We recommend a simple and transparent approach with only one pool.  This also serves to create an equitable allocation of allowances as all generators share from a single pool.  </w:t>
      </w:r>
    </w:p>
    <w:p>
      <w:pPr>
        <w:pStyle w:val="Normal"/>
        <w:autoSpaceDE w:val="false"/>
        <w:rPr>
          <w:color w:val="000000"/>
        </w:rPr>
      </w:pPr>
      <w:r>
        <w:rPr>
          <w:color w:val="000000"/>
        </w:rPr>
      </w:r>
    </w:p>
    <w:p>
      <w:pPr>
        <w:pStyle w:val="Normal"/>
        <w:numPr>
          <w:ilvl w:val="0"/>
          <w:numId w:val="6"/>
        </w:numPr>
        <w:autoSpaceDE w:val="false"/>
        <w:rPr>
          <w:color w:val="000000"/>
        </w:rPr>
      </w:pPr>
      <w:r>
        <w:rPr>
          <w:color w:val="000000"/>
        </w:rPr>
        <w:t xml:space="preserve">Allowance allocations should be tied to specific generation units.  Thus, as OPG divests its assets, it will be clear which allowances are tied to which assets.  Companies should still be allowed to use their allocations as they see fit within their system; however, allocations to all units should be based on a clear standard – not arbitrary negotiations or the current standard that promotes maximum output from generation units, and does nothing to incentivize cleaner generation.  </w:t>
      </w:r>
    </w:p>
    <w:p>
      <w:pPr>
        <w:pStyle w:val="Normal"/>
        <w:autoSpaceDE w:val="false"/>
        <w:rPr>
          <w:color w:val="000000"/>
        </w:rPr>
      </w:pPr>
      <w:r>
        <w:rPr>
          <w:color w:val="000000"/>
        </w:rPr>
      </w:r>
    </w:p>
    <w:p>
      <w:pPr>
        <w:pStyle w:val="Normal"/>
        <w:numPr>
          <w:ilvl w:val="0"/>
          <w:numId w:val="6"/>
        </w:numPr>
        <w:autoSpaceDE w:val="false"/>
        <w:rPr>
          <w:color w:val="000000"/>
        </w:rPr>
      </w:pPr>
      <w:r>
        <w:rPr>
          <w:color w:val="000000"/>
        </w:rPr>
        <w:t xml:space="preserve">A new source set aside is critical to ensure that new participants are not disadvantaged coming into the market.  The USEPA in its NOx Model Rule recommended a new source set aside of 2 to 5 percent.  This allows those new generation units that have no operational history to have a level of certainty that there will be allowances available for their first year of operation.  This is another reason that it is critical that new generators are rolled into the larger existing generation allocation pool as quickly as possible.  This prevents any competitive advantages by existing sources of generation, and continues to incentivize newer, cleaner sources of generation to come on-line. </w:t>
      </w:r>
    </w:p>
    <w:p>
      <w:pPr>
        <w:pStyle w:val="Normal"/>
        <w:autoSpaceDE w:val="false"/>
        <w:rPr>
          <w:color w:val="000000"/>
        </w:rPr>
      </w:pPr>
      <w:r>
        <w:rPr>
          <w:color w:val="000000"/>
        </w:rPr>
      </w:r>
    </w:p>
    <w:p>
      <w:pPr>
        <w:pStyle w:val="Normal"/>
        <w:autoSpaceDE w:val="false"/>
        <w:rPr>
          <w:b/>
          <w:color w:val="000000"/>
        </w:rPr>
      </w:pPr>
      <w:r>
        <w:rPr>
          <w:b/>
          <w:color w:val="000000"/>
        </w:rPr>
      </w:r>
    </w:p>
    <w:p>
      <w:pPr>
        <w:pStyle w:val="Heading6"/>
        <w:ind w:hanging="0" w:start="0"/>
        <w:rPr/>
      </w:pPr>
      <w:r>
        <w:rPr/>
        <w:t>Set-asides for Energy Efficiency and Renewable Energy</w:t>
      </w:r>
    </w:p>
    <w:p>
      <w:pPr>
        <w:pStyle w:val="Normal"/>
        <w:autoSpaceDE w:val="false"/>
        <w:rPr>
          <w:color w:val="000000"/>
        </w:rPr>
      </w:pPr>
      <w:r>
        <w:rPr>
          <w:color w:val="000000"/>
        </w:rPr>
      </w:r>
    </w:p>
    <w:p>
      <w:pPr>
        <w:pStyle w:val="Normal"/>
        <w:autoSpaceDE w:val="false"/>
        <w:rPr>
          <w:color w:val="000000"/>
        </w:rPr>
      </w:pPr>
      <w:r>
        <w:rPr>
          <w:color w:val="000000"/>
        </w:rPr>
        <w:t>The proposed rules are generally too complicated and would raise compatibility issues with U.S. programs.  Specific problematic areas are included under the section below on renewable energy and credit generation.</w:t>
      </w:r>
    </w:p>
    <w:p>
      <w:pPr>
        <w:pStyle w:val="Heading4"/>
        <w:ind w:hanging="0" w:start="0"/>
        <w:rPr>
          <w:i w:val="false"/>
          <w:i w:val="false"/>
          <w:color w:val="000000"/>
        </w:rPr>
      </w:pPr>
      <w:r>
        <w:rPr>
          <w:i w:val="false"/>
          <w:color w:val="000000"/>
        </w:rPr>
      </w:r>
    </w:p>
    <w:p>
      <w:pPr>
        <w:pStyle w:val="Heading4"/>
        <w:ind w:hanging="0" w:start="0"/>
        <w:rPr>
          <w:i w:val="false"/>
          <w:i w:val="false"/>
        </w:rPr>
      </w:pPr>
      <w:r>
        <w:rPr>
          <w:i w:val="false"/>
        </w:rPr>
        <w:t>Programmatic Framework</w:t>
      </w:r>
    </w:p>
    <w:p>
      <w:pPr>
        <w:pStyle w:val="Heading4"/>
        <w:ind w:hanging="0" w:start="0"/>
        <w:rPr>
          <w:i w:val="false"/>
          <w:i w:val="false"/>
        </w:rPr>
      </w:pPr>
      <w:r>
        <w:rPr>
          <w:i w:val="false"/>
        </w:rPr>
      </w:r>
    </w:p>
    <w:p>
      <w:pPr>
        <w:pStyle w:val="Heading4"/>
        <w:ind w:hanging="0" w:start="0"/>
        <w:rPr>
          <w:b w:val="false"/>
        </w:rPr>
      </w:pPr>
      <w:r>
        <w:rPr>
          <w:b w:val="false"/>
        </w:rPr>
        <w:t xml:space="preserve">Encouraging Broad Participation and Liquidity </w:t>
      </w:r>
    </w:p>
    <w:p>
      <w:pPr>
        <w:pStyle w:val="Normal"/>
        <w:autoSpaceDE w:val="false"/>
        <w:rPr>
          <w:b/>
          <w:color w:val="000000"/>
        </w:rPr>
      </w:pPr>
      <w:r>
        <w:rPr>
          <w:b/>
          <w:color w:val="000000"/>
        </w:rPr>
      </w:r>
    </w:p>
    <w:p>
      <w:pPr>
        <w:pStyle w:val="Normal"/>
        <w:autoSpaceDE w:val="false"/>
        <w:rPr>
          <w:color w:val="000000"/>
        </w:rPr>
      </w:pPr>
      <w:r>
        <w:rPr>
          <w:color w:val="000000"/>
        </w:rPr>
        <w:t>Enron supports the objective of cross-border transactions under the regulation.  To advance this opportunity, MOE should work closely with the U.S. Environmental Protection Agency (U.S. EPA) to ensure that its regulatory framework is consistent with U.S. NOx and SO2 emissions trading programs.  The emissions trading program rules should establish clearly defined commodities at the onset of the program.</w:t>
      </w:r>
    </w:p>
    <w:p>
      <w:pPr>
        <w:pStyle w:val="Normal"/>
        <w:autoSpaceDE w:val="false"/>
        <w:rPr>
          <w:color w:val="000000"/>
        </w:rPr>
      </w:pPr>
      <w:r>
        <w:rPr>
          <w:color w:val="000000"/>
        </w:rPr>
      </w:r>
    </w:p>
    <w:p>
      <w:pPr>
        <w:pStyle w:val="Heading4"/>
        <w:ind w:hanging="0" w:start="0"/>
        <w:rPr>
          <w:b w:val="false"/>
        </w:rPr>
      </w:pPr>
      <w:r>
        <w:rPr>
          <w:b w:val="false"/>
        </w:rPr>
        <w:t>Practical Mechanics</w:t>
      </w:r>
    </w:p>
    <w:p>
      <w:pPr>
        <w:pStyle w:val="Heading4"/>
        <w:ind w:hanging="0" w:start="0"/>
        <w:rPr>
          <w:b w:val="false"/>
        </w:rPr>
      </w:pPr>
      <w:r>
        <w:rPr>
          <w:b w:val="false"/>
        </w:rPr>
      </w:r>
    </w:p>
    <w:p>
      <w:pPr>
        <w:pStyle w:val="Normal"/>
        <w:autoSpaceDE w:val="false"/>
        <w:rPr>
          <w:color w:val="000000"/>
        </w:rPr>
      </w:pPr>
      <w:r>
        <w:rPr>
          <w:color w:val="000000"/>
        </w:rPr>
        <w:t xml:space="preserve">Enron is concerned that proposed timing on completing reporting, verification and allocation of allowances in first quarter of year following the annual compliance period poses practical challenges for both participating units and MOE.  Enron recommends prospective allocation procedures, with reporting and verification in the first quarter following the annual compliance period. </w:t>
      </w:r>
    </w:p>
    <w:p>
      <w:pPr>
        <w:pStyle w:val="Normal"/>
        <w:rPr>
          <w:color w:val="000000"/>
        </w:rPr>
      </w:pPr>
      <w:r>
        <w:rPr>
          <w:color w:val="000000"/>
        </w:rPr>
      </w:r>
    </w:p>
    <w:p>
      <w:pPr>
        <w:pStyle w:val="Heading4"/>
        <w:ind w:hanging="0" w:start="0"/>
        <w:rPr>
          <w:b w:val="false"/>
        </w:rPr>
      </w:pPr>
      <w:r>
        <w:rPr>
          <w:b w:val="false"/>
        </w:rPr>
        <w:t>Compatibility with U.S. programs and Administrative Simplicity</w:t>
      </w:r>
    </w:p>
    <w:p>
      <w:pPr>
        <w:pStyle w:val="Normal"/>
        <w:autoSpaceDE w:val="false"/>
        <w:rPr>
          <w:b/>
          <w:color w:val="000000"/>
        </w:rPr>
      </w:pPr>
      <w:r>
        <w:rPr>
          <w:b/>
          <w:color w:val="000000"/>
        </w:rPr>
      </w:r>
    </w:p>
    <w:p>
      <w:pPr>
        <w:pStyle w:val="Normal"/>
        <w:autoSpaceDE w:val="false"/>
        <w:rPr>
          <w:color w:val="000000"/>
        </w:rPr>
      </w:pPr>
      <w:r>
        <w:rPr>
          <w:color w:val="000000"/>
        </w:rPr>
        <w:t>Provisions in the proposed regulation that would discount cross-border allowances or Emission Reduction Credits (ERCs) based on seasonality, distance and directionality, among others, add administrative burdens to the system, which could lead to decreased participation in emissions trading.  Further, they also raise significant compatibility issues with U.S. emissions trading programs.  U.S. EPA has questioned several of these provisions and we encourage further consideration of their merit, and in the least, suggest their simplification.  For example, U.S. EPA suggests that emissions credits that are submitted for compliance purposes by Ontario sources should be accepted if they originate within the defined Canadian and U.S. Pollution Emission Management Areas.  Further, allowances from U.S. programs should be accepted directly.  They should not have to go through the ERC verification procedure and they should not be discounted by 10 percent, especially if they will also be discounted for distance and direction.</w:t>
      </w:r>
    </w:p>
    <w:p>
      <w:pPr>
        <w:pStyle w:val="Normal"/>
        <w:autoSpaceDE w:val="false"/>
        <w:rPr>
          <w:color w:val="000000"/>
        </w:rPr>
      </w:pPr>
      <w:r>
        <w:rPr>
          <w:color w:val="000000"/>
        </w:rPr>
      </w:r>
    </w:p>
    <w:p>
      <w:pPr>
        <w:pStyle w:val="Heading4"/>
        <w:ind w:hanging="0" w:start="0"/>
        <w:rPr>
          <w:b w:val="false"/>
        </w:rPr>
      </w:pPr>
      <w:r>
        <w:rPr>
          <w:b w:val="false"/>
        </w:rPr>
        <w:t>Consequences of Non-Compliance</w:t>
      </w:r>
    </w:p>
    <w:p>
      <w:pPr>
        <w:pStyle w:val="Normal"/>
        <w:autoSpaceDE w:val="false"/>
        <w:rPr>
          <w:b/>
          <w:i/>
          <w:i/>
          <w:color w:val="000000"/>
        </w:rPr>
      </w:pPr>
      <w:r>
        <w:rPr>
          <w:b/>
          <w:i/>
          <w:color w:val="000000"/>
        </w:rPr>
      </w:r>
    </w:p>
    <w:p>
      <w:pPr>
        <w:pStyle w:val="Normal"/>
        <w:autoSpaceDE w:val="false"/>
        <w:rPr>
          <w:color w:val="000000"/>
        </w:rPr>
      </w:pPr>
      <w:r>
        <w:rPr>
          <w:color w:val="000000"/>
        </w:rPr>
        <w:t>Consequences in the event of non-compliance with the emissions cap should be clear and established prior to the start of the program.  No such language is included in the draft regulation and we encourage detailed provisions on non-compliance consequences in subsequent drafts of the regulation.</w:t>
      </w:r>
    </w:p>
    <w:p>
      <w:pPr>
        <w:pStyle w:val="Heading4"/>
        <w:ind w:hanging="0" w:start="0"/>
        <w:rPr>
          <w:i w:val="false"/>
          <w:i w:val="false"/>
          <w:color w:val="0000FF"/>
        </w:rPr>
      </w:pPr>
      <w:r>
        <w:rPr>
          <w:i w:val="false"/>
        </w:rPr>
        <w:t xml:space="preserve">Renewable Energy and Credit Generation </w:t>
      </w:r>
    </w:p>
    <w:p>
      <w:pPr>
        <w:pStyle w:val="Normal"/>
        <w:autoSpaceDE w:val="false"/>
        <w:rPr>
          <w:i/>
          <w:i/>
          <w:color w:val="0000FF"/>
        </w:rPr>
      </w:pPr>
      <w:r>
        <w:rPr>
          <w:i/>
          <w:color w:val="0000FF"/>
        </w:rPr>
      </w:r>
    </w:p>
    <w:p>
      <w:pPr>
        <w:pStyle w:val="Heading6"/>
        <w:ind w:hanging="0" w:start="0"/>
        <w:rPr/>
      </w:pPr>
      <w:r>
        <w:rPr/>
        <w:t xml:space="preserve">Creation and Verification </w:t>
      </w:r>
    </w:p>
    <w:p>
      <w:pPr>
        <w:pStyle w:val="Normal"/>
        <w:autoSpaceDE w:val="false"/>
        <w:rPr>
          <w:color w:val="000000"/>
        </w:rPr>
      </w:pPr>
      <w:r>
        <w:rPr>
          <w:color w:val="000000"/>
        </w:rPr>
      </w:r>
    </w:p>
    <w:p>
      <w:pPr>
        <w:pStyle w:val="Normal"/>
        <w:autoSpaceDE w:val="false"/>
        <w:rPr>
          <w:color w:val="000000"/>
        </w:rPr>
      </w:pPr>
      <w:r>
        <w:rPr>
          <w:color w:val="000000"/>
        </w:rPr>
        <w:t xml:space="preserve">Verification of renewable energy and energy efficiency should be clear.  If the rules are unclear, this adds unnecessary cost that could serve as a disincentive to voluntary emission reductions.  Ontario has been considering implementing a renewable energy credit (“REC”) -trading program to support environmental disclosure by which the attributes from one MWh of renewable energy generation would be issued a “credit” or “certificate.”  This credit or certificate would act as verification of the renewable energy generation.  For administrative ease, we urge the Government to use the same calculation for "converting" the renewable energy credit to a NOx allowance or SO2 allowance (i.e. 1 MWh = x kt of NOx).  </w:t>
      </w:r>
    </w:p>
    <w:p>
      <w:pPr>
        <w:pStyle w:val="Normal"/>
        <w:autoSpaceDE w:val="false"/>
        <w:rPr>
          <w:color w:val="000000"/>
        </w:rPr>
      </w:pPr>
      <w:r>
        <w:rPr>
          <w:color w:val="000000"/>
        </w:rPr>
      </w:r>
    </w:p>
    <w:p>
      <w:pPr>
        <w:pStyle w:val="Normal"/>
        <w:autoSpaceDE w:val="false"/>
        <w:rPr>
          <w:color w:val="000000"/>
        </w:rPr>
      </w:pPr>
      <w:r>
        <w:rPr>
          <w:color w:val="000000"/>
        </w:rPr>
        <w:t>The verification for the actual generation to create the REC should act as substantiation for emissions credit.  Further, market participants need to have the assurance that once the emission reduction credit is created and verified, it does not risk being “obsolete” at the MOE’s discretion. We strongly recommend that MOE clearly outline the requirements for emission reduction creation, and give market participants more certainty that their created credits can be sold and retired in the market.</w:t>
      </w:r>
    </w:p>
    <w:p>
      <w:pPr>
        <w:pStyle w:val="Normal"/>
        <w:autoSpaceDE w:val="false"/>
        <w:rPr>
          <w:color w:val="000000"/>
        </w:rPr>
      </w:pPr>
      <w:r>
        <w:rPr>
          <w:color w:val="000000"/>
        </w:rPr>
      </w:r>
    </w:p>
    <w:p>
      <w:pPr>
        <w:pStyle w:val="Heading6"/>
        <w:ind w:hanging="0" w:start="0"/>
        <w:rPr/>
      </w:pPr>
      <w:r>
        <w:rPr/>
        <w:t>Discounting and ERC Limits</w:t>
      </w:r>
    </w:p>
    <w:p>
      <w:pPr>
        <w:pStyle w:val="Normal"/>
        <w:autoSpaceDE w:val="false"/>
        <w:rPr>
          <w:color w:val="000000"/>
        </w:rPr>
      </w:pPr>
      <w:r>
        <w:rPr>
          <w:color w:val="000000"/>
        </w:rPr>
      </w:r>
    </w:p>
    <w:p>
      <w:pPr>
        <w:pStyle w:val="Normal"/>
        <w:autoSpaceDE w:val="false"/>
        <w:rPr>
          <w:color w:val="000000"/>
        </w:rPr>
      </w:pPr>
      <w:r>
        <w:rPr>
          <w:color w:val="000000"/>
        </w:rPr>
        <w:t xml:space="preserve">As stated previously, the proposed 10 percent “across the board” discount of ERCs is problematic and discourages ERC generation.  Further, provisions that limit ERC use for compliance purposes also serve as a strong disincentive for ERC generation.  (i.e. a 33 % limit on NOx ERCs and a 10 % limit for SO2 ERCs). One of the important factors to consider in a renewable energy and energy efficiency set aside is the calculation methodology to convert the bypassed emissions into offsets.  If the set-aside allocation for renewable energy and energy efficiency is low (the current proposal is effectively less than 3%), it is important to ensure that there is not too much "discounting" in the equation used to translate the bypassed emissions into offsets.  </w:t>
      </w:r>
    </w:p>
    <w:p>
      <w:pPr>
        <w:pStyle w:val="Normal"/>
        <w:autoSpaceDE w:val="false"/>
        <w:rPr>
          <w:color w:val="000000"/>
        </w:rPr>
      </w:pPr>
      <w:r>
        <w:rPr>
          <w:color w:val="000000"/>
        </w:rPr>
      </w:r>
    </w:p>
    <w:p>
      <w:pPr>
        <w:pStyle w:val="Normal"/>
        <w:autoSpaceDE w:val="false"/>
        <w:rPr>
          <w:color w:val="000000"/>
        </w:rPr>
      </w:pPr>
      <w:r>
        <w:rPr>
          <w:color w:val="000000"/>
        </w:rPr>
        <w:t>Discounting emission reduction credits created from energy efficiency or renewable energy acts as a disincentive for voluntary emission reduction measures.   It also is also more complicated to calculate.  Further, depending upon the discounting rate, it could be cost prohibitive (cost of measurement and verification plus discounting). We recommend that emission reductions credits created from renewable energy and energy efficiency be given full value and that no discounts be applied.</w:t>
      </w:r>
    </w:p>
    <w:p>
      <w:pPr>
        <w:pStyle w:val="Normal"/>
        <w:autoSpaceDE w:val="false"/>
        <w:rPr>
          <w:color w:val="000000"/>
        </w:rPr>
      </w:pPr>
      <w:r>
        <w:rPr>
          <w:color w:val="000000"/>
        </w:rPr>
      </w:r>
    </w:p>
    <w:p>
      <w:pPr>
        <w:pStyle w:val="Heading6"/>
        <w:ind w:hanging="0" w:start="0"/>
        <w:rPr/>
      </w:pPr>
      <w:r>
        <w:rPr/>
        <w:t xml:space="preserve">Seasonality, directionality and distance provisions  </w:t>
      </w:r>
    </w:p>
    <w:p>
      <w:pPr>
        <w:pStyle w:val="Normal"/>
        <w:autoSpaceDE w:val="false"/>
        <w:rPr>
          <w:color w:val="000000"/>
        </w:rPr>
      </w:pPr>
      <w:r>
        <w:rPr>
          <w:color w:val="000000"/>
        </w:rPr>
      </w:r>
    </w:p>
    <w:p>
      <w:pPr>
        <w:pStyle w:val="Normal"/>
        <w:autoSpaceDE w:val="false"/>
        <w:rPr>
          <w:color w:val="000000"/>
        </w:rPr>
      </w:pPr>
      <w:r>
        <w:rPr>
          <w:color w:val="000000"/>
        </w:rPr>
        <w:t>As previously stated, these provisions are overly complicated, not compatible with U.S. requirements and likely have limited environmental benefits.</w:t>
      </w:r>
    </w:p>
    <w:p>
      <w:pPr>
        <w:pStyle w:val="Normal"/>
        <w:autoSpaceDE w:val="false"/>
        <w:rPr>
          <w:color w:val="000000"/>
        </w:rPr>
      </w:pPr>
      <w:r>
        <w:rPr>
          <w:color w:val="000000"/>
        </w:rPr>
      </w:r>
    </w:p>
    <w:p>
      <w:pPr>
        <w:pStyle w:val="Heading6"/>
        <w:ind w:hanging="0" w:start="0"/>
        <w:rPr/>
      </w:pPr>
      <w:r>
        <w:rPr/>
        <w:t xml:space="preserve">Lifespan  </w:t>
      </w:r>
    </w:p>
    <w:p>
      <w:pPr>
        <w:pStyle w:val="Normal"/>
        <w:autoSpaceDE w:val="false"/>
        <w:rPr>
          <w:color w:val="000000"/>
        </w:rPr>
      </w:pPr>
      <w:r>
        <w:rPr>
          <w:color w:val="000000"/>
        </w:rPr>
      </w:r>
    </w:p>
    <w:p>
      <w:pPr>
        <w:pStyle w:val="Normal"/>
        <w:autoSpaceDE w:val="false"/>
        <w:rPr>
          <w:color w:val="000000"/>
        </w:rPr>
      </w:pPr>
      <w:r>
        <w:rPr>
          <w:color w:val="000000"/>
        </w:rPr>
        <w:t>The renewable energy and energy efficiency emission reduction credits should not have a limited five-year lifespan.  This provision is too restrictive and limits opportunities to develop projects.  Placing a lifespan limit that is narrower than the benefits resulting from the life of energy efficiency projects would limit participation of market participants.</w:t>
      </w:r>
    </w:p>
    <w:p>
      <w:pPr>
        <w:pStyle w:val="Normal"/>
        <w:autoSpaceDE w:val="false"/>
        <w:rPr>
          <w:color w:val="000000"/>
        </w:rPr>
      </w:pPr>
      <w:r>
        <w:rPr>
          <w:color w:val="000000"/>
        </w:rPr>
      </w:r>
    </w:p>
    <w:p>
      <w:pPr>
        <w:pStyle w:val="Normal"/>
        <w:rPr/>
      </w:pPr>
      <w:r>
        <w:rPr/>
        <w:t xml:space="preserve">Thank you for the opportunity to share Enron’s views on Ontario’s proposed Emission Trading Regulation.  </w:t>
      </w:r>
      <w:r>
        <w:rPr>
          <w:color w:val="000000"/>
        </w:rPr>
        <w:t xml:space="preserve">Please direct any questions or comments in relation to this submission to Ms. Lisa Jacobson at (202) 466-9176 or email at </w:t>
      </w:r>
      <w:hyperlink r:id="rId2">
        <w:r>
          <w:rPr>
            <w:rStyle w:val="Hyperlink"/>
          </w:rPr>
          <w:t>lisa.Jacobson@enron.com</w:t>
        </w:r>
      </w:hyperlink>
      <w:r>
        <w:rPr>
          <w:color w:val="000000"/>
        </w:rPr>
        <w:t>.</w:t>
      </w:r>
    </w:p>
    <w:p>
      <w:pPr>
        <w:pStyle w:val="Heading4"/>
        <w:ind w:hanging="0" w:start="0"/>
        <w:rPr>
          <w:color w:val="000000"/>
        </w:rPr>
      </w:pPr>
      <w:r>
        <w:rPr>
          <w:color w:val="000000"/>
        </w:rPr>
      </w:r>
    </w:p>
    <w:p>
      <w:pPr>
        <w:pStyle w:val="Normal"/>
        <w:autoSpaceDE w:val="false"/>
        <w:rPr>
          <w:color w:val="000000"/>
        </w:rPr>
      </w:pPr>
      <w:r>
        <w:rPr>
          <w:color w:val="000000"/>
        </w:rPr>
      </w:r>
    </w:p>
    <w:p>
      <w:pPr>
        <w:pStyle w:val="Normal"/>
        <w:rPr/>
      </w:pPr>
      <w:r>
        <w:rPr/>
        <w:t>Yours truly,</w:t>
      </w:r>
    </w:p>
    <w:p>
      <w:pPr>
        <w:pStyle w:val="Normal"/>
        <w:rPr/>
      </w:pPr>
      <w:r>
        <w:rPr/>
      </w:r>
    </w:p>
    <w:p>
      <w:pPr>
        <w:pStyle w:val="Normal"/>
        <w:rPr/>
      </w:pPr>
      <w:r>
        <w:rPr/>
        <w:t>Enron Canada Corp.</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rPr/>
      </w:pPr>
      <w:r>
        <w:rPr/>
        <w:t>Robert Hemstock</w:t>
      </w:r>
    </w:p>
    <w:p>
      <w:pPr>
        <w:pStyle w:val="Normal"/>
        <w:rPr/>
      </w:pPr>
      <w:r>
        <w:rPr/>
        <w:t xml:space="preserve">Senior Director, Government Affairs </w:t>
        <w:tab/>
        <w:tab/>
        <w:tab/>
      </w:r>
    </w:p>
    <w:p>
      <w:pPr>
        <w:pStyle w:val="Normal"/>
        <w:rPr/>
      </w:pPr>
      <w:r>
        <w:rPr/>
      </w:r>
    </w:p>
    <w:p>
      <w:pPr>
        <w:pStyle w:val="Normal"/>
        <w:rPr/>
      </w:pPr>
      <w:r>
        <w:rPr/>
        <w:t>cc:</w:t>
        <w:tab/>
        <w:t>Christine Todd Whitman, Administrator, U.S. EPA</w:t>
      </w:r>
    </w:p>
    <w:p>
      <w:pPr>
        <w:pStyle w:val="Normal"/>
        <w:ind w:firstLine="720" w:end="0"/>
        <w:rPr/>
      </w:pPr>
      <w:r>
        <w:rPr/>
        <w:t>Paula Dobriansky, Under Secretary for Global Affairs, U.S. State Department</w:t>
      </w:r>
    </w:p>
    <w:p>
      <w:pPr>
        <w:pStyle w:val="Normal"/>
        <w:ind w:firstLine="720" w:end="0"/>
        <w:rPr/>
      </w:pPr>
      <w:r>
        <w:rPr/>
        <w:t>James Connaoughton, Council on Environmental Quality</w:t>
      </w:r>
    </w:p>
    <w:p>
      <w:pPr>
        <w:pStyle w:val="Normal"/>
        <w:rPr/>
      </w:pPr>
      <w:r>
        <w:rPr/>
      </w:r>
    </w:p>
    <w:p>
      <w:pPr>
        <w:pStyle w:val="Normal"/>
        <w:rPr>
          <w:color w:val="000000"/>
        </w:rPr>
      </w:pPr>
      <w:r>
        <w:rPr>
          <w:color w:val="000000"/>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EBR Registry Number: RA01E0020</w:t>
    </w:r>
  </w:p>
  <w:p>
    <w:pPr>
      <w:pStyle w:val="Header"/>
      <w:jc w:val="end"/>
      <w:rPr>
        <w:sz w:val="22"/>
      </w:rPr>
    </w:pPr>
    <w:r>
      <w:rPr>
        <w:sz w:val="22"/>
      </w:rPr>
      <w:t>Comments of Enron Corp</w:t>
    </w:r>
  </w:p>
  <w:p>
    <w:pPr>
      <w:pStyle w:val="Header"/>
      <w:jc w:val="end"/>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jc w:val="end"/>
      <w:rPr>
        <w:rStyle w:val="PageNumber"/>
        <w:sz w:val="22"/>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jc w:val="end"/>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autoSpaceDE w:val="false"/>
      <w:outlineLvl w:val="3"/>
    </w:pPr>
    <w:rPr>
      <w:b/>
      <w:bCs/>
      <w:i/>
      <w:iCs/>
      <w:color w:val="000000"/>
      <w:szCs w:val="20"/>
    </w:rPr>
  </w:style>
  <w:style w:type="paragraph" w:styleId="Heading5">
    <w:name w:val="heading 5"/>
    <w:basedOn w:val="Normal"/>
    <w:next w:val="Normal"/>
    <w:qFormat/>
    <w:pPr>
      <w:keepNext w:val="true"/>
      <w:numPr>
        <w:ilvl w:val="4"/>
        <w:numId w:val="1"/>
      </w:numPr>
      <w:autoSpaceDE w:val="false"/>
      <w:outlineLvl w:val="4"/>
    </w:pPr>
    <w:rPr>
      <w:b/>
      <w:bCs/>
      <w:color w:val="000000"/>
      <w:szCs w:val="20"/>
    </w:rPr>
  </w:style>
  <w:style w:type="paragraph" w:styleId="Heading6">
    <w:name w:val="heading 6"/>
    <w:basedOn w:val="Normal"/>
    <w:next w:val="Normal"/>
    <w:qFormat/>
    <w:pPr>
      <w:keepNext w:val="true"/>
      <w:numPr>
        <w:ilvl w:val="5"/>
        <w:numId w:val="1"/>
      </w:numPr>
      <w:autoSpaceDE w:val="false"/>
      <w:outlineLvl w:val="5"/>
    </w:pPr>
    <w:rPr>
      <w:rFonts w:cs="Arial"/>
      <w:i/>
      <w:iCs/>
      <w:color w:val="000000"/>
      <w:szCs w:val="20"/>
    </w:rPr>
  </w:style>
  <w:style w:type="character" w:styleId="WW8Num2z0">
    <w:name w:val="WW8Num2z0"/>
    <w:qFormat/>
    <w:rPr/>
  </w:style>
  <w:style w:type="character" w:styleId="WW8Num3z0">
    <w:name w:val="WW8Num3z0"/>
    <w:qFormat/>
    <w:rPr>
      <w:rFonts w:ascii="Symbol" w:hAnsi="Symbol" w:cs="Symbol"/>
      <w:color w:val="auto"/>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b/>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sz w:val="24"/>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b/>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sz w:val="24"/>
    </w:rPr>
  </w:style>
  <w:style w:type="character" w:styleId="WW8Num24z0">
    <w:name w:val="WW8Num24z0"/>
    <w:qFormat/>
    <w:rPr>
      <w:rFonts w:ascii="Symbol" w:hAnsi="Symbol" w:cs="Symbol"/>
      <w:color w:val="auto"/>
      <w:sz w:val="24"/>
    </w:rPr>
  </w:style>
  <w:style w:type="character" w:styleId="WW8NumSt23z0">
    <w:name w:val="WW8NumSt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00"/>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next w:val="Normal"/>
    <w:qFormat/>
    <w:pPr>
      <w:widowControl/>
      <w:bidi w:val="0"/>
    </w:pPr>
    <w:rPr>
      <w:rFonts w:ascii="Arial" w:hAnsi="Arial" w:eastAsia="Times New Roman" w:cs="Arial"/>
      <w:color w:val="auto"/>
      <w:sz w:val="24"/>
      <w:szCs w:val="20"/>
      <w:lang w:val="en-US" w:bidi="ar-SA" w:eastAsia="zh-CN"/>
    </w:rPr>
  </w:style>
  <w:style w:type="paragraph" w:styleId="BodyTextIndent">
    <w:name w:val="Body Text Indent"/>
    <w:basedOn w:val="Normal"/>
    <w:pPr>
      <w:ind w:hanging="0" w:start="360" w:end="0"/>
    </w:pPr>
    <w:rPr>
      <w:color w:val="000000"/>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hanging="0" w:start="720" w:end="0"/>
    </w:pPr>
    <w:rPr>
      <w:rFonts w:ascii="Arial" w:hAnsi="Arial" w:cs="Arial"/>
      <w:szCs w:val="20"/>
      <w:lang w:val="en-CA" w:eastAsia="en-CA"/>
    </w:rPr>
  </w:style>
  <w:style w:type="paragraph" w:styleId="BulletLevel1">
    <w:name w:val="Bullet Level 1"/>
    <w:basedOn w:val="Normal"/>
    <w:qFormat/>
    <w:pPr>
      <w:numPr>
        <w:ilvl w:val="0"/>
        <w:numId w:val="7"/>
      </w:numPr>
      <w:spacing w:before="0" w:after="120"/>
      <w:ind w:hanging="0" w:start="720" w:end="0"/>
    </w:pPr>
    <w:rPr>
      <w:szCs w:val="20"/>
    </w:rPr>
  </w:style>
  <w:style w:type="paragraph" w:styleId="SectionHeader1">
    <w:name w:val="Section Header 1"/>
    <w:basedOn w:val="Normal"/>
    <w:qFormat/>
    <w:pPr>
      <w:spacing w:before="0" w:after="120"/>
    </w:pPr>
    <w:rPr>
      <w:b/>
      <w:caps/>
      <w:szCs w:val="20"/>
    </w:rPr>
  </w:style>
  <w:style w:type="paragraph" w:styleId="Bullet1">
    <w:name w:val="Bullet #1"/>
    <w:basedOn w:val="Normal"/>
    <w:qFormat/>
    <w:pPr>
      <w:numPr>
        <w:ilvl w:val="0"/>
        <w:numId w:val="2"/>
      </w:numPr>
    </w:pPr>
    <w:rPr>
      <w:sz w:val="20"/>
      <w:szCs w:val="20"/>
    </w:rPr>
  </w:style>
  <w:style w:type="paragraph" w:styleId="BodyText2">
    <w:name w:val="Body Text 2"/>
    <w:basedOn w:val="Normal"/>
    <w:qFormat/>
    <w:pPr>
      <w:numPr>
        <w:ilvl w:val="0"/>
        <w:numId w:val="0"/>
      </w:numPr>
      <w:autoSpaceDE w:val="false"/>
      <w:ind w:hanging="0" w:start="0" w:end="0"/>
    </w:pPr>
    <w:rPr>
      <w:color w:val="8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sa.Jacobson@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2001-10-03T16:28:00Z</dcterms:created>
  <dc:creator>jkeeler</dc:creator>
  <dc:description/>
  <dc:language>en-CA</dc:language>
  <cp:lastModifiedBy>ljacobso</cp:lastModifiedBy>
  <cp:lastPrinted>2001-10-03T15:12:00Z</cp:lastPrinted>
  <dcterms:modified xsi:type="dcterms:W3CDTF">2001-10-03T17:13:00Z</dcterms:modified>
  <cp:revision>20</cp:revision>
  <dc:subject/>
  <dc:title>Comments of Enron Corp on</dc:title>
</cp:coreProperties>
</file>