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Normal"/>
        <w:rPr/>
      </w:pPr>
      <w:r>
        <w:rPr/>
      </w:r>
    </w:p>
    <w:p>
      <w:pPr>
        <w:pStyle w:val="Heading1"/>
        <w:ind w:hanging="0" w:start="0"/>
        <w:rPr/>
      </w:pPr>
      <w:r>
        <w:rPr/>
        <w:t>M E M O R A N D U M</w:t>
      </w:r>
    </w:p>
    <w:p>
      <w:pPr>
        <w:pStyle w:val="Normal"/>
        <w:rPr/>
      </w:pPr>
      <w:r>
        <w:rPr/>
      </w:r>
    </w:p>
    <w:p>
      <w:pPr>
        <w:pStyle w:val="Normal"/>
        <w:rPr/>
      </w:pPr>
      <w:r>
        <w:rPr/>
        <w:t>August 14, 2000</w:t>
      </w:r>
    </w:p>
    <w:p>
      <w:pPr>
        <w:pStyle w:val="Normal"/>
        <w:rPr/>
      </w:pPr>
      <w:r>
        <w:rPr/>
      </w:r>
    </w:p>
    <w:p>
      <w:pPr>
        <w:pStyle w:val="Normal"/>
        <w:rPr/>
      </w:pPr>
      <w:r>
        <w:rPr/>
      </w:r>
    </w:p>
    <w:p>
      <w:pPr>
        <w:pStyle w:val="Normal"/>
        <w:rPr/>
      </w:pPr>
      <w:r>
        <w:rPr/>
        <w:t>TO:</w:t>
        <w:tab/>
        <w:t>Enron North America</w:t>
      </w:r>
    </w:p>
    <w:p>
      <w:pPr>
        <w:pStyle w:val="Normal"/>
        <w:rPr/>
      </w:pPr>
      <w:r>
        <w:rPr/>
        <w:tab/>
        <w:t>Project Development Team Members</w:t>
      </w:r>
    </w:p>
    <w:p>
      <w:pPr>
        <w:pStyle w:val="Normal"/>
        <w:rPr/>
      </w:pPr>
      <w:r>
        <w:rPr/>
      </w:r>
    </w:p>
    <w:p>
      <w:pPr>
        <w:pStyle w:val="Normal"/>
        <w:rPr/>
      </w:pPr>
      <w:r>
        <w:rPr/>
        <w:t>SUBJECT:</w:t>
        <w:tab/>
        <w:t>Licensing Projects at the California Energy Commission</w:t>
      </w:r>
    </w:p>
    <w:p>
      <w:pPr>
        <w:pStyle w:val="Normal"/>
        <w:rPr/>
      </w:pPr>
      <w:r>
        <w:rPr/>
      </w:r>
    </w:p>
    <w:p>
      <w:pPr>
        <w:pStyle w:val="Normal"/>
        <w:rPr/>
      </w:pPr>
      <w:r>
        <w:rPr/>
        <w:tab/>
        <w:t>The California Energy Commission is given broad responsibilities in the licensing of thermal powerplants over 50 MW in size.  The enabling legislation (Warren-Alquist Act) gives the CEC the power to override local, regional and other state agencies in the siting of jurisdictional powerplants.  Although the CEC does not use this power, its existence affects relationships with other agencies.  For example, counties, cities and agencies such as the Coastal Commission are rarely familiar with the powers of the CEC.  They must be convinced to work with the CEC, so that the views and requirements of these agencies are reflected in the CEC decision, without obtaining an actual approval document from these agencies.</w:t>
      </w:r>
    </w:p>
    <w:p>
      <w:pPr>
        <w:pStyle w:val="Normal"/>
        <w:rPr/>
      </w:pPr>
      <w:r>
        <w:rPr/>
      </w:r>
    </w:p>
    <w:p>
      <w:pPr>
        <w:pStyle w:val="Normal"/>
        <w:numPr>
          <w:ilvl w:val="0"/>
          <w:numId w:val="3"/>
        </w:numPr>
        <w:rPr/>
      </w:pPr>
      <w:r>
        <w:rPr>
          <w:u w:val="single"/>
        </w:rPr>
        <w:t>The CEC Process.</w:t>
      </w:r>
      <w:r>
        <w:rPr/>
        <w:t xml:space="preserve">  Although there are opportunities for CEC staff review prior to filing and Application For Certification (AFC), the Staff’s work starts with the AFC filing.  The Staff is given 45 days to give a report to the Commission on the adequacy of the AFC.  Applicants are generally given a list of deficiencies and when these deficiencies are satisfied, the one-year statutory licensing period begins.  The first six or seven months are for staff review, with the end product being the Final Staff Analysis, which serves as the staff testimony.  The project Committee (two Commissioners and a Hearing Officer) then holds hearings, writes a Presiding Members Proposed Decision.  Following a comment period on the PMPD, the full Commission issues a Final Decision.  There is a 30 day rehearing period with appeals going directly to the California Supreme Court.</w:t>
      </w:r>
    </w:p>
    <w:p>
      <w:pPr>
        <w:pStyle w:val="Normal"/>
        <w:rPr/>
      </w:pPr>
      <w:r>
        <w:rPr/>
      </w:r>
    </w:p>
    <w:p>
      <w:pPr>
        <w:pStyle w:val="Normal"/>
        <w:numPr>
          <w:ilvl w:val="0"/>
          <w:numId w:val="3"/>
        </w:numPr>
        <w:rPr/>
      </w:pPr>
      <w:r>
        <w:rPr>
          <w:u w:val="single"/>
        </w:rPr>
        <w:t>Items Required for the AFC.</w:t>
      </w:r>
      <w:r>
        <w:rPr/>
        <w:t xml:space="preserve">  The preparation of the AFC generally falls into two steps: the preparation of the project description by the engineering staff and the preparation of the environmental and safety analysis by the environmental support group.</w:t>
      </w:r>
    </w:p>
    <w:p>
      <w:pPr>
        <w:pStyle w:val="Normal"/>
        <w:rPr/>
      </w:pPr>
      <w:r>
        <w:rPr/>
      </w:r>
    </w:p>
    <w:p>
      <w:pPr>
        <w:pStyle w:val="Normal"/>
        <w:numPr>
          <w:ilvl w:val="0"/>
          <w:numId w:val="2"/>
        </w:numPr>
        <w:rPr/>
      </w:pPr>
      <w:r>
        <w:rPr>
          <w:u w:val="single"/>
        </w:rPr>
        <w:t>Project Description.</w:t>
      </w:r>
      <w:r>
        <w:rPr/>
        <w:t xml:space="preserve">  The engineering support group requires the project size, equipment likely to be used, linear routes, such as water, transmission and gas lines, the gas supply, operating profile, emission controls and cooling and wastewater disposal methods.  Site control is often required prior to the start of much of this work.</w:t>
      </w:r>
    </w:p>
    <w:p>
      <w:pPr>
        <w:pStyle w:val="Normal"/>
        <w:numPr>
          <w:ilvl w:val="0"/>
          <w:numId w:val="2"/>
        </w:numPr>
        <w:rPr/>
      </w:pPr>
      <w:r>
        <w:rPr>
          <w:u w:val="single"/>
        </w:rPr>
        <w:t>Environmental Analysis.</w:t>
      </w:r>
      <w:r>
        <w:rPr/>
        <w:t xml:space="preserve">  The environmental consultants take the project description and prepare an environmental and safety analysis of the proposed project.  These consultants also require details such as the location and size of the lay-down area, the stack height and the site plan to complete their work.</w:t>
      </w:r>
    </w:p>
    <w:p>
      <w:pPr>
        <w:pStyle w:val="Normal"/>
        <w:rPr>
          <w:u w:val="single"/>
        </w:rPr>
      </w:pPr>
      <w:r>
        <w:rPr>
          <w:u w:val="single"/>
        </w:rPr>
      </w:r>
    </w:p>
    <w:p>
      <w:pPr>
        <w:pStyle w:val="Normal"/>
        <w:numPr>
          <w:ilvl w:val="0"/>
          <w:numId w:val="3"/>
        </w:numPr>
        <w:rPr/>
      </w:pPr>
      <w:r>
        <w:rPr>
          <w:u w:val="single"/>
        </w:rPr>
        <w:t>Critical Path Items.</w:t>
      </w:r>
      <w:r>
        <w:rPr/>
        <w:t xml:space="preserve">  There are critical path items in the pre-AFC stage, such as site control and the adoption of an emissions control strategy.  There are also items necessary for the timely completion of the environmental analysis, such as complete meteorological data.  However, the licensing critical path items in past cases have generally been the following:</w:t>
      </w:r>
    </w:p>
    <w:p>
      <w:pPr>
        <w:pStyle w:val="Normal"/>
        <w:rPr>
          <w:u w:val="single"/>
        </w:rPr>
      </w:pPr>
      <w:r>
        <w:rPr>
          <w:u w:val="single"/>
        </w:rPr>
      </w:r>
    </w:p>
    <w:p>
      <w:pPr>
        <w:pStyle w:val="Normal"/>
        <w:numPr>
          <w:ilvl w:val="0"/>
          <w:numId w:val="4"/>
        </w:numPr>
        <w:rPr/>
      </w:pPr>
      <w:r>
        <w:rPr>
          <w:u w:val="single"/>
        </w:rPr>
        <w:t>Air District Determination of Compliance.</w:t>
      </w:r>
      <w:r>
        <w:rPr/>
        <w:t xml:space="preserve">  The CEC process incorporates the review of the project by the local air district.  Applicants file a separate application with the air district and the air district issues a Determination of Compliance within 180 days of application acceptance.  Air districts require that all required offsets be obtained, or in the control of the Applicant, prior to the issuance of the DOC.  The CEC now wants to impose a similar offsets commitment prior to their acceptance of an AFC for review, although this authority does not appear in the code or the regulations.  The Staff insistence that offsets be obtained prior to AFC review may be enforced in areas where offsets are scarce.</w:t>
      </w:r>
    </w:p>
    <w:p>
      <w:pPr>
        <w:pStyle w:val="Normal"/>
        <w:rPr>
          <w:u w:val="single"/>
        </w:rPr>
      </w:pPr>
      <w:r>
        <w:rPr>
          <w:u w:val="single"/>
        </w:rPr>
      </w:r>
    </w:p>
    <w:p>
      <w:pPr>
        <w:pStyle w:val="Normal"/>
        <w:numPr>
          <w:ilvl w:val="0"/>
          <w:numId w:val="4"/>
        </w:numPr>
        <w:rPr/>
      </w:pPr>
      <w:r>
        <w:rPr>
          <w:u w:val="single"/>
        </w:rPr>
        <w:t>Biology Surveys.</w:t>
      </w:r>
      <w:r>
        <w:rPr/>
        <w:t xml:space="preserve">  Where a project or any of its linear components are located in areas where there may be sensitive habitat, surveys of the species and the habitat are required.  There are many plant species that appear only in Spring and must be surveyed at that time.  This represents a problem with a project that enters development in the Fall, as we must show either that the surveys have been complete or that there is no need for such surveys.</w:t>
      </w:r>
    </w:p>
    <w:p>
      <w:pPr>
        <w:pStyle w:val="Normal"/>
        <w:rPr/>
      </w:pPr>
      <w:r>
        <w:rPr/>
      </w:r>
    </w:p>
    <w:p>
      <w:pPr>
        <w:pStyle w:val="Normal"/>
        <w:numPr>
          <w:ilvl w:val="0"/>
          <w:numId w:val="4"/>
        </w:numPr>
        <w:rPr/>
      </w:pPr>
      <w:r>
        <w:rPr>
          <w:u w:val="single"/>
        </w:rPr>
        <w:t>Interconnection Study.</w:t>
      </w:r>
      <w:r>
        <w:rPr/>
        <w:t xml:space="preserve">  An interconnection study is required from the local utility.  The utilities take a long time to complete these studies and have the Independent System Operator review them.</w:t>
      </w:r>
    </w:p>
    <w:p>
      <w:pPr>
        <w:pStyle w:val="Normal"/>
        <w:rPr/>
      </w:pPr>
      <w:r>
        <w:rPr/>
      </w:r>
    </w:p>
    <w:p>
      <w:pPr>
        <w:pStyle w:val="Normal"/>
        <w:numPr>
          <w:ilvl w:val="0"/>
          <w:numId w:val="4"/>
        </w:numPr>
        <w:rPr/>
      </w:pPr>
      <w:r>
        <w:rPr>
          <w:u w:val="single"/>
        </w:rPr>
        <w:t>Federal Approvals.</w:t>
      </w:r>
      <w:r>
        <w:rPr/>
        <w:t xml:space="preserve">  Because the CEC process only incorporates all state approvals, there are federal approvals that become critical path items.  Agencies such as the EPA and the US Fish &amp; Wildlife Service have been extremely slow in their reviews of air and biology.  Agencies such as the Corps of Engineers have been more responsive.</w:t>
      </w:r>
    </w:p>
    <w:p>
      <w:pPr>
        <w:pStyle w:val="Normal"/>
        <w:rPr/>
      </w:pPr>
      <w:r>
        <w:rPr/>
      </w:r>
    </w:p>
    <w:p>
      <w:pPr>
        <w:pStyle w:val="Normal"/>
        <w:numPr>
          <w:ilvl w:val="0"/>
          <w:numId w:val="4"/>
        </w:numPr>
        <w:rPr/>
      </w:pPr>
      <w:r>
        <w:rPr>
          <w:u w:val="single"/>
        </w:rPr>
        <w:t>County/City Input.</w:t>
      </w:r>
      <w:r>
        <w:rPr/>
        <w:t xml:space="preserve">  In addition to the time it takes to convince counties and cities to work within the CEC licensing framework, the actual obtaining of local approvals can take many months.  For certain local approvals, an environmental impact report is required.  As the law requires that only a single report be prepared for a single project, local agencies must often wait for a Commission document, such as the PMPD, prior to taking any action.</w:t>
      </w:r>
    </w:p>
    <w:p>
      <w:pPr>
        <w:pStyle w:val="Normal"/>
        <w:rPr/>
      </w:pPr>
      <w:r>
        <w:rPr/>
      </w:r>
    </w:p>
    <w:p>
      <w:pPr>
        <w:pStyle w:val="Normal"/>
        <w:numPr>
          <w:ilvl w:val="0"/>
          <w:numId w:val="4"/>
        </w:numPr>
        <w:rPr/>
      </w:pPr>
      <w:r>
        <w:rPr>
          <w:u w:val="single"/>
        </w:rPr>
        <w:t>Water Plans.</w:t>
      </w:r>
      <w:r>
        <w:rPr/>
        <w:t xml:space="preserve">  Where a project is located in a water scarce area, the development of a water plan that does not negatively affect local users or supplies can take a great deal of time.</w:t>
      </w:r>
    </w:p>
    <w:p>
      <w:pPr>
        <w:pStyle w:val="Normal"/>
        <w:rPr/>
      </w:pPr>
      <w:r>
        <w:rPr/>
      </w:r>
    </w:p>
    <w:p>
      <w:pPr>
        <w:pStyle w:val="Normal"/>
        <w:rPr>
          <w:u w:val="single"/>
        </w:rPr>
      </w:pPr>
      <w:r>
        <w:rPr>
          <w:u w:val="single"/>
        </w:rPr>
      </w:r>
    </w:p>
    <w:p>
      <w:pPr>
        <w:pStyle w:val="Normal"/>
        <w:ind w:start="720" w:end="0"/>
        <w:rPr/>
      </w:pPr>
      <w:r>
        <w:rPr/>
        <w:t>In summary, it is important to tackle the critical path items and approvals from agencies other that the CEC at an early date.  If an expedited AFC is desired, it puts greater pressure on the Applicant to deal with these items at an even earlier date.  For example, if a 10 month licensing is desired, air district approval must be obtained prior to the 180 day statutory deadline.  To expedite this approval, air district application must be submitted prior to the AFC submittal and offsets must be obtained at an early date.</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lowerLetter"/>
      <w:lvlText w:val="(%1)"/>
      <w:lvlJc w:val="start"/>
      <w:pPr>
        <w:tabs>
          <w:tab w:val="num" w:pos="2160"/>
        </w:tabs>
        <w:ind w:start="2160" w:hanging="720"/>
      </w:pPr>
      <w:rPr/>
    </w:lvl>
  </w:abstractNum>
  <w:abstractNum w:abstractNumId="3">
    <w:lvl w:ilvl="0">
      <w:start w:val="1"/>
      <w:numFmt w:val="decimal"/>
      <w:lvlText w:val="%1."/>
      <w:lvlJc w:val="start"/>
      <w:pPr>
        <w:tabs>
          <w:tab w:val="num" w:pos="1440"/>
        </w:tabs>
        <w:ind w:start="1440" w:hanging="720"/>
      </w:pPr>
      <w:rPr/>
    </w:lvl>
  </w:abstractNum>
  <w:abstractNum w:abstractNumId="4">
    <w:lvl w:ilvl="0">
      <w:start w:val="1"/>
      <w:numFmt w:val="lowerLetter"/>
      <w:lvlText w:val="(%1)"/>
      <w:lvlJc w:val="start"/>
      <w:pPr>
        <w:tabs>
          <w:tab w:val="num" w:pos="2160"/>
        </w:tabs>
        <w:ind w:start="2160" w:hanging="720"/>
      </w:pPr>
      <w:rPr/>
    </w:lvl>
  </w:abstractNum>
  <w:num w:numId="1">
    <w:abstractNumId w:val="1"/>
  </w:num>
  <w:num w:numId="2">
    <w:abstractNumId w:val="2"/>
  </w:num>
  <w:num w:numId="3">
    <w:abstractNumId w:val="3"/>
  </w:num>
  <w:num w:numId="4">
    <w:abstractNumId w:val="4"/>
  </w:num>
</w:numbering>
</file>

<file path=word/settings.xml><?xml version="1.0" encoding="utf-8"?>
<w:settings xmlns:w="http://schemas.openxmlformats.org/wordprocessingml/2006/main">
  <w:zoom w:percent="100"/>
  <w:defaultTabStop w:val="720"/>
  <w:autoHyphenation w:val="true"/>
  <w:hyphenationZone w:val="0"/>
  <w:compat>
    <w:doNotExpandShiftReturn/>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0"/>
      <w:szCs w:val="20"/>
      <w:lang w:val="en-US" w:eastAsia="zh-CN" w:bidi="hi-IN"/>
    </w:rPr>
  </w:style>
  <w:style w:type="paragraph" w:styleId="Heading1">
    <w:name w:val="heading 1"/>
    <w:basedOn w:val="Normal"/>
    <w:next w:val="Normal"/>
    <w:qFormat/>
    <w:pPr>
      <w:keepNext w:val="true"/>
      <w:numPr>
        <w:ilvl w:val="0"/>
        <w:numId w:val="1"/>
      </w:numPr>
      <w:jc w:val="center"/>
      <w:outlineLvl w:val="0"/>
    </w:pPr>
    <w:rPr>
      <w:b/>
      <w:u w:val="single"/>
    </w:rPr>
  </w:style>
  <w:style w:type="character" w:styleId="WW8Num1z0">
    <w:name w:val="WW8Num1z0"/>
    <w:qFormat/>
    <w:rPr/>
  </w:style>
  <w:style w:type="character" w:styleId="WW8Num2z0">
    <w:name w:val="WW8Num2z0"/>
    <w:qFormat/>
    <w:rPr/>
  </w:style>
  <w:style w:type="character" w:styleId="WW8Num3z0">
    <w:name w:val="WW8Num3z0"/>
    <w:qFormat/>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numbering" w:styleId="WW8Num1">
    <w:name w:val="WW8Num1"/>
    <w:qFormat/>
  </w:style>
  <w:style w:type="numbering" w:styleId="WW8Num2">
    <w:name w:val="WW8Num2"/>
    <w:qFormat/>
  </w:style>
  <w:style w:type="numbering" w:styleId="WW8Num3">
    <w:name w:val="WW8Num3"/>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62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2000-08-13T12:08:00Z</dcterms:created>
  <dc:creator>allan j thompsonued Gateway Client</dc:creator>
  <dc:description/>
  <dc:language>en-CA</dc:language>
  <cp:lastModifiedBy>Allan J Thompson</cp:lastModifiedBy>
  <dcterms:modified xsi:type="dcterms:W3CDTF">2000-08-15T21:49:00Z</dcterms:modified>
  <cp:revision>4</cp:revision>
  <dc:subject/>
  <dc:title>M E M O R A N D U M</dc:title>
</cp:coreProperties>
</file>