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(&lt;&lt;InstrTypeCapFloor&gt;&gt;)</w:t>
      </w:r>
    </w:p>
    <w:p>
      <w:pPr>
        <w:pStyle w:val="Normal"/>
        <w:tabs>
          <w:tab w:val="clear" w:pos="720"/>
          <w:tab w:val="left" w:pos="6480" w:leader="none"/>
        </w:tabs>
        <w:rPr>
          <w:b/>
          <w:sz w:val="22"/>
        </w:rPr>
      </w:pPr>
      <w:r>
        <w:rPr>
          <w:b/>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Commodity Cap/Floor</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r>
        <w:rPr>
          <w:sz w:val="22"/>
          <w:vertAlign w:val="superscript"/>
        </w:rPr>
        <w:t>1</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Determination Period:</w:t>
        <w:tab/>
      </w:r>
      <w:r>
        <w:rPr>
          <w:rFonts w:eastAsia="Symbol" w:cs="Symbol" w:ascii="Symbol" w:hAnsi="Symbol"/>
          <w:sz w:val="22"/>
        </w:rPr>
        <w:sym w:font="Symbol" w:char="f03c"/>
        <w:sym w:font="Symbol" w:char="f03c"/>
      </w:r>
      <w:r>
        <w:rPr>
          <w:sz w:val="22"/>
        </w:rPr>
        <w:t>QtyPerPeriod</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r>
      <w:r>
        <w:rPr>
          <w:rFonts w:eastAsia="Symbol" w:cs="Symbol" w:ascii="Symbol" w:hAnsi="Symbol"/>
          <w:sz w:val="22"/>
        </w:rPr>
        <w:sym w:font="Symbol" w:char="f03c"/>
        <w:sym w:font="Symbol" w:char="f03c"/>
      </w:r>
      <w:r>
        <w:rPr>
          <w:sz w:val="22"/>
        </w:rPr>
        <w:t>CommodityName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r>
      <w:r>
        <w:rPr>
          <w:rFonts w:eastAsia="Symbol" w:cs="Symbol" w:ascii="Symbol" w:hAnsi="Symbol"/>
          <w:sz w:val="22"/>
        </w:rPr>
        <w:sym w:font="Symbol" w:char="f03c"/>
        <w:sym w:font="Symbol" w:char="f03c"/>
      </w:r>
      <w:r>
        <w:rPr>
          <w:sz w:val="22"/>
        </w:rPr>
        <w:t>UnitOfMeasure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r>
      <w:r>
        <w:rPr>
          <w:rFonts w:eastAsia="Symbol" w:cs="Symbol" w:ascii="Symbol" w:hAnsi="Symbol"/>
          <w:sz w:val="22"/>
        </w:rPr>
        <w:sym w:font="Symbol" w:char="f03c"/>
        <w:sym w:font="Symbol" w:char="f03c"/>
      </w:r>
      <w:r>
        <w:rPr>
          <w:sz w:val="22"/>
        </w:rPr>
        <w:t>TransStartDate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t>Termination Date:</w:t>
        <w:tab/>
        <w:tab/>
      </w:r>
      <w:r>
        <w:rPr>
          <w:rFonts w:eastAsia="Symbol" w:cs="Symbol" w:ascii="Symbol" w:hAnsi="Symbol"/>
          <w:sz w:val="22"/>
        </w:rPr>
        <w:sym w:font="Symbol" w:char="f03c"/>
        <w:sym w:font="Symbol" w:char="f03c"/>
      </w:r>
      <w:r>
        <w:rPr>
          <w:sz w:val="22"/>
        </w:rPr>
        <w:t>TransStopDate</w:t>
      </w:r>
      <w:r>
        <w:rPr>
          <w:rFonts w:eastAsia="Symbol" w:cs="Symbol" w:ascii="Symbol" w:hAnsi="Symbol"/>
          <w:sz w:val="22"/>
        </w:rPr>
        <w:sym w:font="Symbol" w:char="f03e"/>
        <w:sym w:font="Symbol" w:char="f03e"/>
      </w:r>
      <w:r>
        <w:rPr>
          <w:sz w:val="22"/>
        </w:rPr>
        <w:t xml:space="preserve"> </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Determination Period(s):</w:t>
        <w:tab/>
        <w:t>&lt;&lt;DeterminationPeriod&gt;&gt;</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Total Premium:</w:t>
        <w:tab/>
        <w:tab/>
        <w:t>&lt;&lt;Cap/FloorPremiumAmt&gt;&gt; due Seller</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Premium Payment Date(s):</w:t>
        <w:tab/>
        <w:t>&lt;&lt;Cap/FloorPremiumDate&gt;&gt;</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Procedure for Exercise:</w:t>
        <w:tab/>
        <w:tab/>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ab/>
        <w:tab/>
        <w:t>Automatic Exercise:</w:t>
        <w:tab/>
        <w:t>&lt;&lt;Applicable/Inapplicable&gt;&gt;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pPr>
      <w:r>
        <w:rPr>
          <w:sz w:val="16"/>
          <w:vertAlign w:val="superscript"/>
        </w:rPr>
        <w:t xml:space="preserve">1 </w:t>
      </w:r>
      <w:r>
        <w:rPr>
          <w:sz w:val="16"/>
        </w:rPr>
        <w:t>If no premium stated, then need to insert "consideration language" in preamble: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sz w:val="22"/>
        </w:rPr>
        <w:tab/>
        <w:t>Exercise Period:</w:t>
        <w:tab/>
        <w:tab/>
        <w:t>&lt;&lt;Inapplicable&gt;&gt;</w:t>
      </w:r>
      <w:r>
        <w:rPr>
          <w:sz w:val="22"/>
          <w:vertAlign w:val="superscript"/>
        </w:rPr>
        <w:t>2</w:t>
      </w:r>
      <w:r>
        <w:rPr>
          <w:sz w:val="22"/>
        </w:rPr>
        <w:t>, &lt;&lt;From and including _____ to and including ____ between ____ a.m. and ____ p.m.</w:t>
      </w:r>
      <w:r>
        <w:rPr>
          <w:sz w:val="22"/>
          <w:vertAlign w:val="superscript"/>
        </w:rPr>
        <w:t>3</w:t>
      </w:r>
      <w:r>
        <w:rPr>
          <w:sz w:val="22"/>
        </w:rPr>
        <w:t xml:space="preserve"> (local time in ___________)&gt;&gt;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Written Confirmation:</w:t>
        <w:tab/>
        <w:tab/>
        <w:t>&lt;&lt;Inapplicable&gt;&gt;</w:t>
      </w:r>
      <w:r>
        <w:rPr>
          <w:sz w:val="22"/>
          <w:vertAlign w:val="superscript"/>
        </w:rPr>
        <w:t>4</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&lt;&lt;Cap/Floor&gt;&gt;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 Payor</w:t>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[Buyer]:</w:t>
      </w:r>
      <w:r>
        <w:rPr>
          <w:sz w:val="22"/>
          <w:vertAlign w:val="superscript"/>
        </w:rPr>
        <w:t>5</w:t>
      </w:r>
      <w:r>
        <w:rPr>
          <w:sz w:val="22"/>
        </w:rPr>
        <w:tab/>
        <w:tab/>
        <w:t>&lt;&lt;PartyA/B/Buyer&gt;&gt;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&lt;&lt;Cap/Floor&gt;&gt; Price:</w:t>
        <w:tab/>
        <w:tab/>
        <w:t>&lt;&lt;Cap/FloorPrice&gt;&gt;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Floating Price Payor</w:t>
      </w:r>
    </w:p>
    <w:p>
      <w:pPr>
        <w:pStyle w:val="BodyTextIndent"/>
        <w:tabs>
          <w:tab w:val="left" w:pos="90" w:leader="none"/>
          <w:tab w:val="left" w:pos="2160" w:leader="none"/>
          <w:tab w:val="left" w:pos="4140" w:leader="none"/>
          <w:tab w:val="left" w:pos="6480" w:leader="none"/>
        </w:tabs>
        <w:ind w:hanging="810" w:start="90" w:end="0"/>
        <w:rPr/>
      </w:pPr>
      <w:r>
        <w:rPr>
          <w:sz w:val="22"/>
        </w:rPr>
        <w:tab/>
        <w:t>[Seller]:</w:t>
      </w:r>
      <w:r>
        <w:rPr>
          <w:sz w:val="22"/>
          <w:vertAlign w:val="superscript"/>
        </w:rPr>
        <w:t>5</w:t>
      </w:r>
      <w:r>
        <w:rPr>
          <w:sz w:val="22"/>
        </w:rPr>
        <w:tab/>
        <w:tab/>
        <w:t>&lt;&lt;PartyB/A/Seller&gt;&gt;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w:t>
        <w:tab/>
        <w:tab/>
        <w:t>&lt;&lt;FloatPrice&gt;&gt;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Payment Date(s):</w:t>
        <w:tab/>
        <w:tab/>
        <w:t>&lt;&lt;SettlementDate&gt;&gt;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[Alternative Floating Price and</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sz w:val="22"/>
        </w:rPr>
        <w:tab/>
        <w:t>Alternative Floating PriceSource:</w:t>
        <w:tab/>
        <w:t>&lt;&lt;AlternativePrice&gt;&gt;]</w:t>
      </w:r>
      <w:r>
        <w:rPr>
          <w:sz w:val="22"/>
          <w:vertAlign w:val="superscript"/>
        </w:rPr>
        <w:t>6</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vertAlign w:val="superscript"/>
        </w:rPr>
      </w:pPr>
      <w:r>
        <w:rPr>
          <w:b/>
          <w:sz w:val="22"/>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sz w:val="22"/>
        </w:rPr>
        <w:t>[</w:t>
      </w:r>
      <w:r>
        <w:rPr>
          <w:b/>
          <w:sz w:val="22"/>
        </w:rPr>
        <w:t>Contractual Currency:</w:t>
        <w:tab/>
      </w:r>
      <w:r>
        <w:rPr>
          <w:sz w:val="22"/>
        </w:rPr>
        <w:t>&lt;&lt;CurrencyDesc&gt;&gt;]</w:t>
      </w:r>
      <w:r>
        <w:rPr>
          <w:sz w:val="22"/>
          <w:vertAlign w:val="superscript"/>
        </w:rPr>
        <w:t>7</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vertAlign w:val="superscript"/>
        </w:rPr>
      </w:pPr>
      <w:r>
        <w:rPr>
          <w:b/>
          <w:sz w:val="22"/>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sz w:val="22"/>
        </w:rPr>
        <w:t>[</w:t>
      </w:r>
      <w:r>
        <w:rPr>
          <w:b/>
          <w:sz w:val="22"/>
        </w:rPr>
        <w:t>Governing Law:</w:t>
        <w:tab/>
        <w:tab/>
      </w:r>
      <w:r>
        <w:rPr>
          <w:sz w:val="22"/>
        </w:rPr>
        <w:t>&lt;&lt;GoverningLaw&gt;&gt;]</w:t>
      </w:r>
      <w:r>
        <w:rPr>
          <w:sz w:val="22"/>
          <w:vertAlign w:val="superscript"/>
        </w:rPr>
        <w:t>7</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vertAlign w:val="superscript"/>
        </w:rPr>
      </w:pPr>
      <w:r>
        <w:rPr>
          <w:sz w:val="22"/>
          <w:vertAlign w:val="superscript"/>
        </w:rPr>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 xml:space="preserve">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2</w:t>
      </w:r>
      <w:r>
        <w:rPr>
          <w:sz w:val="16"/>
        </w:rPr>
        <w:t xml:space="preserve"> If Automatic Exercise is specified to be "Applicable"  (a) and the Exercise Period is specified to be "Inapplicable", the option shall be deemed exercised on the first day of the first Determination Period (b) and if the Exercise Period is provided, the option shall be deemed exercised as of that time without having been exercised.</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 xml:space="preserve">3 </w:t>
      </w:r>
      <w:r>
        <w:rPr>
          <w:sz w:val="16"/>
        </w:rPr>
        <w:t>Include if American style option exercisable on a Business Day during the Exercise Period.  Specify only one Business Day if European style option.</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 xml:space="preserve">4 </w:t>
      </w:r>
      <w:r>
        <w:rPr>
          <w:sz w:val="16"/>
        </w:rPr>
        <w:t>If specified as "Applicable", Buyer must promptly deliver a Written Confirmation confirming substance of Notice of Exercise.</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 xml:space="preserve">5 </w:t>
      </w:r>
      <w:r>
        <w:rPr>
          <w:sz w:val="16"/>
        </w:rPr>
        <w:t>Adding the designations of "Buyer" and "Seller" not required but may be helpful.</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 xml:space="preserve">6 </w:t>
      </w:r>
      <w:r>
        <w:rPr>
          <w:sz w:val="16"/>
        </w:rPr>
        <w:t>Insert if fallback reference price is required.</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 xml:space="preserve">7 </w:t>
      </w:r>
      <w:r>
        <w:rPr>
          <w:sz w:val="16"/>
        </w:rPr>
        <w:t>Insert ONLY if not U.S. currency or not Texas law.</w:t>
      </w:r>
    </w:p>
    <w:p>
      <w:pPr>
        <w:pStyle w:val="BodyTextIndent"/>
        <w:tabs>
          <w:tab w:val="left" w:pos="90" w:leader="none"/>
          <w:tab w:val="left" w:pos="810" w:leader="none"/>
          <w:tab w:val="left" w:pos="2160" w:leader="none"/>
          <w:tab w:val="left" w:pos="4140" w:leader="none"/>
          <w:tab w:val="left" w:pos="6480" w:leader="none"/>
        </w:tabs>
        <w:rPr>
          <w:sz w:val="16"/>
        </w:rPr>
      </w:pPr>
      <w:r>
        <w:rPr>
          <w:sz w:val="16"/>
        </w:rPr>
      </w:r>
      <w:r>
        <w:br w:type="page"/>
      </w:r>
    </w:p>
    <w:p>
      <w:pPr>
        <w:pStyle w:val="BodyTextIndent"/>
        <w:tabs>
          <w:tab w:val="left" w:pos="90" w:leader="none"/>
          <w:tab w:val="left" w:pos="810" w:leader="none"/>
          <w:tab w:val="left" w:pos="2160" w:leader="none"/>
          <w:tab w:val="left" w:pos="4140" w:leader="none"/>
          <w:tab w:val="left" w:pos="6480" w:leader="none"/>
        </w:tabs>
        <w:rPr>
          <w:sz w:val="16"/>
        </w:rPr>
      </w:pPr>
      <w:r>
        <w:rPr>
          <w:sz w:val="16"/>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Annex attached hereto.  All such swap, option or other financially-settled derivative transactions, shall constitute a single integrated agreement between you and us, it being acknowledged that the parties are relying upon the fact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/mnt/main-storage/datasets/enron-docs/doc/omnibuscapfloor.doc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OMNIBUScap/floor</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1999-07-20T18:46:00Z</dcterms:created>
  <dc:creator>wende warren</dc:creator>
  <dc:description/>
  <dc:language>en-CA</dc:language>
  <cp:lastModifiedBy>kaye ellis</cp:lastModifiedBy>
  <cp:lastPrinted>1999-08-25T15:26:00Z</cp:lastPrinted>
  <dcterms:modified xsi:type="dcterms:W3CDTF">1999-08-25T17:58:00Z</dcterms:modified>
  <cp:revision>8</cp:revision>
  <dc:subject/>
  <dc:title/>
</cp:coreProperties>
</file>