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«EnronLogoAddr1»</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«EnronLogoAddr2»</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«EnronLogoAddr3»</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«EnronLogoTelephone»</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«EnronLogoFax»</w:t>
            </w:r>
            <w:r>
              <w:rPr/>
              <w:fldChar w:fldCharType="end"/>
            </w:r>
          </w:p>
        </w:tc>
      </w:tr>
    </w:tbl>
    <w:p>
      <w:pPr>
        <w:pStyle w:val="Normal"/>
        <w:widowControl/>
        <w:jc w:val="center"/>
        <w:rPr>
          <w:sz w:val="22"/>
        </w:rPr>
      </w:pPr>
      <w:r>
        <w:rPr>
          <w:sz w:val="22"/>
        </w:rPr>
      </w:r>
    </w:p>
    <w:p>
      <w:pPr>
        <w:pStyle w:val="Normal"/>
        <w:widowControl/>
        <w:numPr>
          <w:ilvl w:val="0"/>
          <w:numId w:val="0"/>
        </w:numPr>
        <w:jc w:val="center"/>
        <w:outlineLvl w:val="0"/>
        <w:rPr>
          <w:b/>
          <w:sz w:val="22"/>
        </w:rPr>
      </w:pPr>
      <w:r>
        <w:rPr>
          <w:b/>
          <w:sz w:val="22"/>
          <w:u w:val="single"/>
        </w:rPr>
        <w:t>CONFIRMATION OF AN OPTION</w:t>
      </w:r>
    </w:p>
    <w:p>
      <w:pPr>
        <w:pStyle w:val="Normal"/>
        <w:widowControl/>
        <w:numPr>
          <w:ilvl w:val="0"/>
          <w:numId w:val="0"/>
        </w:numPr>
        <w:jc w:val="center"/>
        <w:outlineLvl w:val="0"/>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«InstrTypeCallPut»</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widowContro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widowContro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widowControl/>
        <w:rPr>
          <w:sz w:val="22"/>
        </w:rPr>
      </w:pPr>
      <w:r>
        <w:rPr>
          <w:sz w:val="22"/>
        </w:rPr>
      </w:r>
    </w:p>
    <w:p>
      <w:pPr>
        <w:pStyle w:val="Normal"/>
        <w:widowContro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widowControl/>
        <w:rPr>
          <w:b/>
          <w:sz w:val="22"/>
        </w:rPr>
      </w:pPr>
      <w:r>
        <w:rPr>
          <w:b/>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rPr>
          <w:sz w:val="22"/>
        </w:rPr>
      </w:pPr>
      <w:r>
        <w:rPr>
          <w:sz w:val="22"/>
        </w:rPr>
      </w:r>
    </w:p>
    <w:p>
      <w:pPr>
        <w:pStyle w:val="Normal"/>
        <w:widowControl/>
        <w:numPr>
          <w:ilvl w:val="0"/>
          <w:numId w:val="0"/>
        </w:numPr>
        <w:outlineLvl w:val="0"/>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«InstrTypeCallPut»</w:t>
      </w:r>
      <w:r>
        <w:rPr>
          <w:sz w:val="22"/>
          <w:b/>
        </w:rPr>
        <w:fldChar w:fldCharType="end"/>
      </w:r>
      <w:r>
        <w:rPr>
          <w:b/>
          <w:sz w:val="22"/>
        </w:rPr>
        <w:t>:</w:t>
      </w:r>
    </w:p>
    <w:p>
      <w:pPr>
        <w:pStyle w:val="Normal"/>
        <w:widowControl/>
        <w:rPr>
          <w:sz w:val="22"/>
        </w:rPr>
      </w:pPr>
      <w:r>
        <w:rPr>
          <w:sz w:val="22"/>
        </w:rPr>
      </w:r>
    </w:p>
    <w:p>
      <w:pPr>
        <w:pStyle w:val="Normal"/>
        <w:widowControl/>
        <w:numPr>
          <w:ilvl w:val="0"/>
          <w:numId w:val="0"/>
        </w:numPr>
        <w:outlineLvl w:val="0"/>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«InstrTypeCallPut»</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«FloatPayerWCP»</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«FixedPayerWCP»</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«OptionPremiumAmt»</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«OptionPremiumDate»</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numPr>
          <w:ilvl w:val="0"/>
          <w:numId w:val="0"/>
        </w:numPr>
        <w:outlineLvl w:val="0"/>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numPr>
          <w:ilvl w:val="0"/>
          <w:numId w:val="0"/>
        </w:numPr>
        <w:outlineLvl w:val="0"/>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p>
      <w:pPr>
        <w:pStyle w:val="Normal"/>
        <w:widowControl/>
        <w:rPr>
          <w:sz w:val="22"/>
        </w:rPr>
      </w:pPr>
      <w:r>
        <w:rPr>
          <w:sz w:val="22"/>
        </w:rPr>
      </w:r>
    </w:p>
    <w:p>
      <w:pPr>
        <w:pStyle w:val="Normal"/>
        <w:widowControl/>
        <w:numPr>
          <w:ilvl w:val="0"/>
          <w:numId w:val="0"/>
        </w:numPr>
        <w:outlineLvl w:val="0"/>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sz w:val="22"/>
              </w:rPr>
            </w:pPr>
            <w:r>
              <w:rPr>
                <w:sz w:val="22"/>
              </w:rPr>
              <w:t xml:space="preserve">             </w:t>
            </w:r>
            <w:r>
              <w:rPr>
                <w:sz w:val="22"/>
              </w:rPr>
              <w:t>Determination Period(s):</w:t>
            </w:r>
          </w:p>
        </w:tc>
        <w:tc>
          <w:tcPr>
            <w:tcW w:w="5670" w:type="dxa"/>
            <w:tcBorders/>
          </w:tcPr>
          <w:p>
            <w:pPr>
              <w:pStyle w:val="Normal"/>
              <w:widowControl/>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BodyText"/>
              <w:rPr/>
            </w:pPr>
            <w:r>
              <w:rPr/>
              <w:t>The average of the daily prices as published in Megawatt Daily’s Market Report under the headings "Ranges and Indexes of Trades for Standard 16-Hour Daily Products; Weighted Average Index; On-Peak Hours, HE 0700 to HE 2200; TVA, into" for power delivered during On-Peak hours on each Delivery Day during the applicable Determination Period.</w:t>
            </w:r>
          </w:p>
          <w:p>
            <w:pPr>
              <w:pStyle w:val="BodyText"/>
              <w:rPr/>
            </w:pPr>
            <w:r>
              <w:rPr/>
            </w:r>
          </w:p>
          <w:p>
            <w:pPr>
              <w:pStyle w:val="BodyText"/>
              <w:rPr/>
            </w:pPr>
            <w:r>
              <w:rPr/>
              <w:t>On-Peak Hours means the hours commencing Hour Ending (HE) 0700 through HE 2200 Central Prevailing Time Monday through Friday, excluding holidays of the National Electric Reliability Council.</w:t>
            </w:r>
          </w:p>
          <w:p>
            <w:pPr>
              <w:pStyle w:val="Normal"/>
              <w:widowControl/>
              <w:jc w:val="both"/>
              <w:rPr>
                <w:sz w:val="22"/>
              </w:rPr>
            </w:pPr>
            <w:r>
              <w:rPr>
                <w:sz w:val="22"/>
              </w:rPr>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«StrikeFloatingPrice1»</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«StrikeFloatingPrice2»</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«SettlementAmount»</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«StrikeFloatingPrice1»</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«StrikeFloatingPrice2»</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670" w:type="dxa"/>
            <w:tcBorders/>
          </w:tcPr>
          <w:p>
            <w:pPr>
              <w:pStyle w:val="Normal"/>
              <w:widowControl/>
              <w:tabs>
                <w:tab w:val="clear" w:pos="720"/>
                <w:tab w:val="left" w:pos="423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widowControl/>
        <w:tabs>
          <w:tab w:val="clear" w:pos="720"/>
          <w:tab w:val="left" w:pos="4230" w:leader="none"/>
        </w:tabs>
        <w:ind w:start="720" w:end="-1260"/>
        <w:rPr>
          <w:sz w:val="22"/>
        </w:rPr>
      </w:pPr>
      <w:r>
        <w:rPr>
          <w:sz w:val="22"/>
        </w:rPr>
      </w:r>
    </w:p>
    <w:p>
      <w:pPr>
        <w:pStyle w:val="Normal"/>
        <w:widowControl/>
        <w:numPr>
          <w:ilvl w:val="0"/>
          <w:numId w:val="0"/>
        </w:numPr>
        <w:tabs>
          <w:tab w:val="clear" w:pos="720"/>
          <w:tab w:val="left" w:pos="4230" w:leader="none"/>
        </w:tabs>
        <w:outlineLvl w:val="0"/>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p>
      <w:pPr>
        <w:pStyle w:val="Normal"/>
        <w:widowControl/>
        <w:rPr>
          <w:sz w:val="22"/>
        </w:rPr>
      </w:pPr>
      <w:r>
        <w:rPr>
          <w:sz w:val="22"/>
        </w:rPr>
      </w:r>
    </w:p>
    <w:p>
      <w:pPr>
        <w:pStyle w:val="Normal"/>
        <w:widowContro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«GoverningLaw»</w:t>
      </w:r>
      <w:r>
        <w:rPr>
          <w:sz w:val="22"/>
        </w:rPr>
        <w:fldChar w:fldCharType="end"/>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«CreditProvision»</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end="-450"/>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«CanadaSecurityLanguage»</w:t>
      </w:r>
      <w:r>
        <w:rPr>
          <w:sz w:val="22"/>
        </w:rPr>
        <w:fldChar w:fldCharType="end"/>
      </w:r>
    </w:p>
    <w:p>
      <w:pPr>
        <w:pStyle w:val="Normal"/>
        <w:widowControl/>
        <w:ind w:end="-450"/>
        <w:jc w:val="both"/>
        <w:rPr>
          <w:sz w:val="22"/>
        </w:rPr>
      </w:pPr>
      <w:r>
        <w:rPr>
          <w:sz w:val="22"/>
        </w:rPr>
      </w:r>
    </w:p>
    <w:p>
      <w:pPr>
        <w:pStyle w:val="Normal"/>
        <w:widowControl/>
        <w:ind w:firstLine="720" w:end="-45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r>
        <w:rPr>
          <w:sz w:val="22"/>
        </w:rPr>
        <w:tab/>
        <w:t>Name: _________________________________</w:t>
      </w:r>
    </w:p>
    <w:p>
      <w:pPr>
        <w:pStyle w:val="Normal"/>
        <w:widowControl/>
        <w:tabs>
          <w:tab w:val="clear" w:pos="720"/>
          <w:tab w:val="left" w:pos="4320" w:leader="none"/>
        </w:tabs>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rPr>
          <w:sz w:val="22"/>
        </w:rPr>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«EnronFax»</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68" w:type="dxa"/>
            <w:tcBorders/>
          </w:tcPr>
          <w:p>
            <w:pPr>
              <w:pStyle w:val="Normal"/>
              <w:widowControl/>
              <w:rPr>
                <w:sz w:val="22"/>
              </w:rPr>
            </w:pPr>
            <w:r>
              <w:rPr>
                <w:sz w:val="22"/>
              </w:rPr>
              <w:t>See invoice for wire instructions</w:t>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numPr>
          <w:ilvl w:val="0"/>
          <w:numId w:val="0"/>
        </w:numPr>
        <w:outlineLvl w:val="0"/>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numPr>
          <w:ilvl w:val="0"/>
          <w:numId w:val="0"/>
        </w:numPr>
        <w:ind w:end="-270"/>
        <w:outlineLvl w:val="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pPr>
    <w:rPr>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2001-04-25T18:12:00Z</dcterms:created>
  <dc:creator>Enron User</dc:creator>
  <dc:description/>
  <dc:language>en-CA</dc:language>
  <cp:lastModifiedBy>mmurphy</cp:lastModifiedBy>
  <dcterms:modified xsi:type="dcterms:W3CDTF">2001-04-25T18:15:00Z</dcterms:modified>
  <cp:revision>3</cp:revision>
  <dc:subject/>
  <dc:title> </dc:title>
</cp:coreProperties>
</file>