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«EnronEntityName»</w:t>
            </w:r>
            <w:r>
              <w:rPr>
                <w:b/>
              </w:rPr>
              <w:fldChar w:fldCharType="end"/>
            </w:r>
          </w:p>
          <w:p>
            <w:pPr>
              <w:pStyle w:val="Normal"/>
              <w:widowControl/>
              <w:tabs>
                <w:tab w:val="clear" w:pos="720"/>
                <w:tab w:val="left" w:pos="2412" w:leader="none"/>
              </w:tabs>
              <w:ind w:start="1962" w:end="0"/>
              <w:rPr/>
            </w:pPr>
            <w:r>
              <w:rPr/>
              <w:fldChar w:fldCharType="begin"/>
            </w:r>
            <w:r>
              <w:rPr/>
              <w:instrText xml:space="preserve"> MERGEFIELD EnronLogoAddr1 </w:instrText>
            </w:r>
            <w:r>
              <w:rPr/>
              <w:fldChar w:fldCharType="separate"/>
            </w:r>
            <w:r>
              <w:rPr/>
              <w:t>«EnronLogoAddr1»</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EnronLogoAddr2 </w:instrText>
            </w:r>
            <w:r>
              <w:rPr/>
              <w:fldChar w:fldCharType="separate"/>
            </w:r>
            <w:r>
              <w:rPr/>
              <w:t>«EnronLogoAddr2»</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EnronLogoAddr3 </w:instrText>
            </w:r>
            <w:r>
              <w:rPr/>
              <w:fldChar w:fldCharType="separate"/>
            </w:r>
            <w:r>
              <w:rPr/>
              <w:t>«EnronLogoAddr3»</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EnronLogoTelephone </w:instrText>
            </w:r>
            <w:r>
              <w:rPr/>
              <w:fldChar w:fldCharType="separate"/>
            </w:r>
            <w:r>
              <w:rPr/>
              <w:t>«EnronLogoTelephone»</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EnronLogoFax </w:instrText>
            </w:r>
            <w:r>
              <w:rPr/>
              <w:fldChar w:fldCharType="separate"/>
            </w:r>
            <w:r>
              <w:rPr/>
              <w:t>«EnronLogoFax»</w:t>
            </w:r>
            <w:r>
              <w:rPr/>
              <w:fldChar w:fldCharType="end"/>
            </w:r>
          </w:p>
        </w:tc>
      </w:tr>
    </w:tbl>
    <w:p>
      <w:pPr>
        <w:pStyle w:val="Normal"/>
        <w:widowControl/>
        <w:jc w:val="center"/>
        <w:rPr>
          <w:sz w:val="22"/>
        </w:rPr>
      </w:pPr>
      <w:r>
        <w:rPr>
          <w:sz w:val="22"/>
        </w:rPr>
      </w:r>
    </w:p>
    <w:p>
      <w:pPr>
        <w:pStyle w:val="Normal"/>
        <w:widowControl/>
        <w:numPr>
          <w:ilvl w:val="0"/>
          <w:numId w:val="0"/>
        </w:numPr>
        <w:jc w:val="center"/>
        <w:outlineLvl w:val="0"/>
        <w:rPr>
          <w:b/>
          <w:sz w:val="22"/>
        </w:rPr>
      </w:pPr>
      <w:r>
        <w:rPr>
          <w:b/>
          <w:sz w:val="22"/>
          <w:u w:val="single"/>
        </w:rPr>
        <w:t>CONFIRMATION OF AN OPTION</w:t>
      </w:r>
    </w:p>
    <w:p>
      <w:pPr>
        <w:pStyle w:val="Normal"/>
        <w:widowControl/>
        <w:numPr>
          <w:ilvl w:val="0"/>
          <w:numId w:val="0"/>
        </w:numPr>
        <w:jc w:val="center"/>
        <w:outlineLvl w:val="0"/>
        <w:rPr/>
      </w:pPr>
      <w:r>
        <w:rPr>
          <w:b/>
          <w:sz w:val="22"/>
        </w:rPr>
        <w:t>(</w:t>
      </w:r>
      <w:r>
        <w:rPr>
          <w:b/>
          <w:sz w:val="22"/>
        </w:rPr>
        <w:fldChar w:fldCharType="begin"/>
      </w:r>
      <w:r>
        <w:rPr>
          <w:sz w:val="22"/>
          <w:b/>
        </w:rPr>
        <w:instrText xml:space="preserve"> MERGEFIELD InstrTypeCallPut </w:instrText>
      </w:r>
      <w:r>
        <w:rPr>
          <w:sz w:val="22"/>
          <w:b/>
        </w:rPr>
        <w:fldChar w:fldCharType="separate"/>
      </w:r>
      <w:r>
        <w:rPr>
          <w:sz w:val="22"/>
          <w:b/>
        </w:rPr>
        <w:t>«InstrTypeCallPut»</w:t>
      </w:r>
      <w:r>
        <w:rPr>
          <w:sz w:val="22"/>
          <w:b/>
        </w:rPr>
        <w:fldChar w:fldCharType="end"/>
      </w:r>
      <w:r>
        <w:rPr>
          <w:b/>
          <w:sz w:val="22"/>
        </w:rPr>
        <w:t>)</w:t>
      </w:r>
    </w:p>
    <w:p>
      <w:pPr>
        <w:pStyle w:val="Normal"/>
        <w:widowControl/>
        <w:rPr>
          <w:b/>
          <w:sz w:val="22"/>
        </w:rPr>
      </w:pPr>
      <w:r>
        <w:rPr>
          <w:b/>
          <w:sz w:val="22"/>
        </w:rPr>
      </w:r>
    </w:p>
    <w:p>
      <w:pPr>
        <w:pStyle w:val="Normal"/>
        <w:widowContro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widowContro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w:t>
      </w:r>
    </w:p>
    <w:p>
      <w:pPr>
        <w:pStyle w:val="Normal"/>
        <w:widowContro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widowContro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widowContro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(“ENA”)</w:t>
      </w:r>
    </w:p>
    <w:p>
      <w:pPr>
        <w:pStyle w:val="Normal"/>
        <w:widowControl/>
        <w:rPr>
          <w:sz w:val="22"/>
        </w:rPr>
      </w:pPr>
      <w:r>
        <w:rPr>
          <w:sz w:val="22"/>
        </w:rPr>
        <w:t>Re:</w:t>
        <w:tab/>
        <w:tab/>
        <w:tab/>
        <w:tab/>
        <w:t>Commodity Option</w:t>
      </w:r>
    </w:p>
    <w:p>
      <w:pPr>
        <w:pStyle w:val="Normal"/>
        <w:widowControl/>
        <w:rPr>
          <w:sz w:val="22"/>
        </w:rPr>
      </w:pPr>
      <w:r>
        <w:rPr>
          <w:sz w:val="22"/>
        </w:rPr>
        <w:t>Contract  No.:</w:t>
        <w:tab/>
        <w:tab/>
        <w:tab/>
        <w:t xml:space="preserve">ENA Contract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widowControl/>
        <w:rPr>
          <w:sz w:val="22"/>
        </w:rPr>
      </w:pPr>
      <w:r>
        <w:rPr>
          <w:sz w:val="22"/>
        </w:rPr>
      </w:r>
    </w:p>
    <w:p>
      <w:pPr>
        <w:pStyle w:val="Normal"/>
        <w:widowContro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widowControl/>
        <w:rPr>
          <w:b/>
          <w:sz w:val="22"/>
        </w:rPr>
      </w:pPr>
      <w:r>
        <w:rPr>
          <w:b/>
          <w:sz w:val="22"/>
        </w:rPr>
      </w:r>
    </w:p>
    <w:p>
      <w:pPr>
        <w:pStyle w:val="Normal"/>
        <w:widowControl/>
        <w:ind w:end="-540"/>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rPr>
          <w:sz w:val="22"/>
        </w:rPr>
      </w:pPr>
      <w:r>
        <w:rPr>
          <w:sz w:val="22"/>
        </w:rPr>
      </w:r>
    </w:p>
    <w:p>
      <w:pPr>
        <w:pStyle w:val="Normal"/>
        <w:widowControl/>
        <w:numPr>
          <w:ilvl w:val="0"/>
          <w:numId w:val="0"/>
        </w:numPr>
        <w:outlineLvl w:val="0"/>
        <w:rPr>
          <w:sz w:val="22"/>
        </w:rPr>
      </w:pPr>
      <w:r>
        <w:rPr>
          <w:b/>
          <w:sz w:val="22"/>
        </w:rPr>
        <w:t xml:space="preserve">General Terms for </w:t>
      </w:r>
      <w:r>
        <w:rPr>
          <w:b/>
          <w:sz w:val="22"/>
        </w:rPr>
        <w:fldChar w:fldCharType="begin"/>
      </w:r>
      <w:r>
        <w:rPr>
          <w:sz w:val="22"/>
          <w:b/>
        </w:rPr>
        <w:instrText xml:space="preserve"> MERGEFIELD InstrTypeCallPut </w:instrText>
      </w:r>
      <w:r>
        <w:rPr>
          <w:sz w:val="22"/>
          <w:b/>
        </w:rPr>
        <w:fldChar w:fldCharType="separate"/>
      </w:r>
      <w:r>
        <w:rPr>
          <w:sz w:val="22"/>
          <w:b/>
        </w:rPr>
        <w:t>«InstrTypeCallPut»</w:t>
      </w:r>
      <w:r>
        <w:rPr>
          <w:sz w:val="22"/>
          <w:b/>
        </w:rPr>
        <w:fldChar w:fldCharType="end"/>
      </w:r>
      <w:r>
        <w:rPr>
          <w:b/>
          <w:sz w:val="22"/>
        </w:rPr>
        <w:t>:</w:t>
      </w:r>
    </w:p>
    <w:p>
      <w:pPr>
        <w:pStyle w:val="Normal"/>
        <w:widowControl/>
        <w:rPr>
          <w:sz w:val="22"/>
        </w:rPr>
      </w:pPr>
      <w:r>
        <w:rPr>
          <w:sz w:val="22"/>
        </w:rPr>
      </w:r>
    </w:p>
    <w:p>
      <w:pPr>
        <w:pStyle w:val="Normal"/>
        <w:widowControl/>
        <w:numPr>
          <w:ilvl w:val="0"/>
          <w:numId w:val="0"/>
        </w:numPr>
        <w:outlineLvl w:val="0"/>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p>
      <w:pPr>
        <w:pStyle w:val="Normal"/>
        <w:widowControl/>
        <w:rPr>
          <w:sz w:val="22"/>
        </w:rPr>
      </w:pPr>
      <w:r>
        <w:rPr>
          <w:sz w:val="22"/>
        </w:rPr>
      </w:r>
    </w:p>
    <w:p>
      <w:pPr>
        <w:pStyle w:val="Normal"/>
        <w:widowContro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p>
      <w:pPr>
        <w:pStyle w:val="Normal"/>
        <w:widowControl/>
        <w:rPr>
          <w:sz w:val="22"/>
        </w:rPr>
      </w:pPr>
      <w:r>
        <w:rPr>
          <w:sz w:val="22"/>
        </w:rPr>
      </w:r>
    </w:p>
    <w:p>
      <w:pPr>
        <w:pStyle w:val="Normal"/>
        <w:widowControl/>
        <w:rPr/>
      </w:pPr>
      <w:r>
        <w:rPr>
          <w:sz w:val="22"/>
        </w:rPr>
        <w:tab/>
        <w:t>Option Type:</w:t>
        <w:tab/>
        <w:tab/>
        <w:tab/>
        <w:tab/>
      </w:r>
      <w:r>
        <w:rPr>
          <w:sz w:val="22"/>
        </w:rPr>
        <w:fldChar w:fldCharType="begin"/>
      </w:r>
      <w:r>
        <w:rPr>
          <w:sz w:val="22"/>
        </w:rPr>
        <w:instrText xml:space="preserve"> MERGEFIELD InstrTypeCallPut </w:instrText>
      </w:r>
      <w:r>
        <w:rPr>
          <w:sz w:val="22"/>
        </w:rPr>
        <w:fldChar w:fldCharType="separate"/>
      </w:r>
      <w:r>
        <w:rPr>
          <w:sz w:val="22"/>
        </w:rPr>
        <w:t>«InstrTypeCallPut»</w:t>
      </w:r>
      <w:r>
        <w:rPr>
          <w:sz w:val="22"/>
        </w:rPr>
        <w:fldChar w:fldCharType="end"/>
      </w:r>
      <w:r>
        <w:rPr>
          <w:sz w:val="22"/>
        </w:rPr>
        <w:t xml:space="preserve"> Option</w:t>
      </w:r>
    </w:p>
    <w:p>
      <w:pPr>
        <w:pStyle w:val="Normal"/>
        <w:widowControl/>
        <w:rPr>
          <w:sz w:val="22"/>
        </w:rPr>
      </w:pPr>
      <w:r>
        <w:rPr>
          <w:sz w:val="22"/>
        </w:rPr>
      </w:r>
    </w:p>
    <w:p>
      <w:pPr>
        <w:pStyle w:val="Normal"/>
        <w:widowControl/>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«FloatPayerWCP»</w:t>
      </w:r>
      <w:r>
        <w:rPr>
          <w:sz w:val="22"/>
        </w:rPr>
        <w:fldChar w:fldCharType="end"/>
      </w:r>
    </w:p>
    <w:p>
      <w:pPr>
        <w:pStyle w:val="Normal"/>
        <w:widowControl/>
        <w:rPr>
          <w:sz w:val="22"/>
        </w:rPr>
      </w:pPr>
      <w:r>
        <w:rPr>
          <w:sz w:val="22"/>
        </w:rPr>
      </w:r>
    </w:p>
    <w:p>
      <w:pPr>
        <w:pStyle w:val="Normal"/>
        <w:widowControl/>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«FixedPayerWCP»</w:t>
      </w:r>
      <w:r>
        <w:rPr>
          <w:sz w:val="22"/>
        </w:rPr>
        <w:fldChar w:fldCharType="end"/>
      </w:r>
    </w:p>
    <w:p>
      <w:pPr>
        <w:pStyle w:val="Normal"/>
        <w:widowControl/>
        <w:rPr>
          <w:sz w:val="22"/>
        </w:rPr>
      </w:pPr>
      <w:r>
        <w:rPr>
          <w:sz w:val="22"/>
        </w:rPr>
      </w:r>
    </w:p>
    <w:p>
      <w:pPr>
        <w:pStyle w:val="Normal"/>
        <w:widowControl/>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«OptionPremiumAmt»</w:t>
      </w:r>
      <w:r>
        <w:rPr>
          <w:sz w:val="22"/>
        </w:rPr>
        <w:fldChar w:fldCharType="end"/>
      </w:r>
      <w:r>
        <w:rPr>
          <w:sz w:val="22"/>
        </w:rPr>
        <w:t xml:space="preserve"> due Seller</w:t>
      </w:r>
    </w:p>
    <w:p>
      <w:pPr>
        <w:pStyle w:val="Normal"/>
        <w:widowControl/>
        <w:rPr>
          <w:sz w:val="22"/>
        </w:rPr>
      </w:pPr>
      <w:r>
        <w:rPr>
          <w:sz w:val="22"/>
        </w:rPr>
      </w:r>
    </w:p>
    <w:p>
      <w:pPr>
        <w:pStyle w:val="Normal"/>
        <w:widowControl/>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«OptionPremiumDate»</w:t>
      </w:r>
      <w:r>
        <w:rPr>
          <w:sz w:val="22"/>
        </w:rPr>
        <w:fldChar w:fldCharType="end"/>
      </w:r>
    </w:p>
    <w:p>
      <w:pPr>
        <w:pStyle w:val="Normal"/>
        <w:widowControl/>
        <w:rPr>
          <w:sz w:val="22"/>
        </w:rPr>
      </w:pPr>
      <w:r>
        <w:rPr>
          <w:sz w:val="22"/>
        </w:rPr>
      </w:r>
    </w:p>
    <w:p>
      <w:pPr>
        <w:pStyle w:val="Normal"/>
        <w:widowControl/>
        <w:rPr>
          <w:sz w:val="22"/>
        </w:rPr>
      </w:pPr>
      <w:r>
        <w:rPr>
          <w:sz w:val="22"/>
        </w:rPr>
        <w:tab/>
        <w:t>Automatic Exercise:</w:t>
        <w:tab/>
        <w:tab/>
        <w:tab/>
        <w:t>Applicable</w:t>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widowControl/>
              <w:ind w:firstLine="720" w:end="0"/>
              <w:rPr>
                <w:sz w:val="22"/>
              </w:rPr>
            </w:pPr>
            <w:r>
              <w:rPr>
                <w:sz w:val="22"/>
              </w:rPr>
              <w:t>Exercise Period:</w:t>
            </w:r>
          </w:p>
        </w:tc>
        <w:tc>
          <w:tcPr>
            <w:tcW w:w="5580" w:type="dxa"/>
            <w:tcBorders/>
          </w:tcPr>
          <w:p>
            <w:pPr>
              <w:pStyle w:val="Normal"/>
              <w:widowControl/>
              <w:jc w:val="both"/>
              <w:rPr>
                <w:sz w:val="22"/>
              </w:rPr>
            </w:pPr>
            <w:r>
              <w:rPr>
                <w:sz w:val="22"/>
              </w:rPr>
              <w:t>Inapplicable</w:t>
            </w:r>
          </w:p>
        </w:tc>
      </w:tr>
    </w:tbl>
    <w:p>
      <w:pPr>
        <w:pStyle w:val="Normal"/>
        <w:widowControl/>
        <w:rPr>
          <w:sz w:val="22"/>
        </w:rPr>
      </w:pPr>
      <w:r>
        <w:rPr>
          <w:sz w:val="22"/>
        </w:rPr>
        <w:tab/>
      </w:r>
    </w:p>
    <w:p>
      <w:pPr>
        <w:pStyle w:val="Normal"/>
        <w:widowControl/>
        <w:numPr>
          <w:ilvl w:val="0"/>
          <w:numId w:val="0"/>
        </w:numPr>
        <w:outlineLvl w:val="0"/>
        <w:rPr>
          <w:sz w:val="22"/>
        </w:rPr>
      </w:pPr>
      <w:r>
        <w:rPr>
          <w:sz w:val="22"/>
        </w:rPr>
        <w:tab/>
        <w:t>Written Confirmation:</w:t>
        <w:tab/>
        <w:tab/>
        <w:tab/>
        <w:t>Inapplicable</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numPr>
          <w:ilvl w:val="0"/>
          <w:numId w:val="0"/>
        </w:numPr>
        <w:outlineLvl w:val="0"/>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fldChar w:fldCharType="begin"/>
            </w:r>
            <w:r>
              <w:rPr>
                <w:sz w:val="22"/>
              </w:rPr>
              <w:instrText xml:space="preserve"> MERGEFIELD QtyPerPeriod </w:instrText>
            </w:r>
            <w:r>
              <w:rPr>
                <w:sz w:val="22"/>
              </w:rPr>
              <w:fldChar w:fldCharType="separate"/>
            </w:r>
            <w:r>
              <w:rPr>
                <w:sz w:val="22"/>
              </w:rPr>
              <w:t>«QtyPerPeriod»</w:t>
            </w:r>
            <w:r>
              <w:rPr>
                <w:sz w:val="22"/>
              </w:rPr>
              <w:fldChar w:fldCharType="end"/>
            </w:r>
          </w:p>
        </w:tc>
      </w:tr>
      <w:tr>
        <w:trPr/>
        <w:tc>
          <w:tcPr>
            <w:tcW w:w="4248" w:type="dxa"/>
            <w:tcBorders/>
          </w:tcPr>
          <w:p>
            <w:pPr>
              <w:pStyle w:val="Normal"/>
              <w:widowControl/>
              <w:snapToGrid w:val="false"/>
              <w:rPr>
                <w:sz w:val="22"/>
              </w:rPr>
            </w:pPr>
            <w:r>
              <w:rPr>
                <w:sz w:val="22"/>
              </w:rPr>
            </w:r>
          </w:p>
        </w:tc>
        <w:tc>
          <w:tcPr>
            <w:tcW w:w="5670" w:type="dxa"/>
            <w:tcBorders/>
          </w:tcPr>
          <w:p>
            <w:pPr>
              <w:pStyle w:val="Normal"/>
              <w:widowControl/>
              <w:snapToGrid w:val="false"/>
              <w:rPr>
                <w:sz w:val="22"/>
              </w:rPr>
            </w:pPr>
            <w:r>
              <w:rPr>
                <w:sz w:val="22"/>
              </w:rPr>
            </w:r>
          </w:p>
        </w:tc>
      </w:tr>
    </w:tbl>
    <w:p>
      <w:pPr>
        <w:pStyle w:val="Normal"/>
        <w:widowControl/>
        <w:tabs>
          <w:tab w:val="left" w:pos="720" w:leader="none"/>
        </w:tabs>
        <w:rPr>
          <w:sz w:val="22"/>
        </w:rPr>
      </w:pPr>
      <w:r>
        <w:rPr>
          <w:sz w:val="22"/>
        </w:rPr>
        <w:tab/>
        <w:t>Effective Date:</w:t>
        <w:tab/>
        <w:tab/>
        <w:tab/>
        <w:t xml:space="preserve">           </w:t>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p>
      <w:pPr>
        <w:pStyle w:val="Normal"/>
        <w:widowControl/>
        <w:rPr>
          <w:sz w:val="22"/>
        </w:rPr>
      </w:pPr>
      <w:r>
        <w:rPr>
          <w:sz w:val="22"/>
        </w:rPr>
      </w:r>
    </w:p>
    <w:p>
      <w:pPr>
        <w:pStyle w:val="Normal"/>
        <w:widowControl/>
        <w:numPr>
          <w:ilvl w:val="0"/>
          <w:numId w:val="0"/>
        </w:numPr>
        <w:outlineLvl w:val="0"/>
        <w:rPr>
          <w:sz w:val="22"/>
        </w:rPr>
      </w:pPr>
      <w:r>
        <w:rPr>
          <w:sz w:val="22"/>
        </w:rPr>
        <w:tab/>
        <w:t>Termination Date:</w:t>
        <w:tab/>
        <w:tab/>
        <w:t xml:space="preserve">           </w:t>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sz w:val="22"/>
              </w:rPr>
            </w:pPr>
            <w:r>
              <w:rPr>
                <w:sz w:val="22"/>
              </w:rPr>
              <w:t xml:space="preserve">             </w:t>
            </w:r>
            <w:r>
              <w:rPr>
                <w:sz w:val="22"/>
              </w:rPr>
              <w:t>Determination Period(s):</w:t>
            </w:r>
          </w:p>
        </w:tc>
        <w:tc>
          <w:tcPr>
            <w:tcW w:w="5670" w:type="dxa"/>
            <w:tcBorders/>
          </w:tcPr>
          <w:p>
            <w:pPr>
              <w:pStyle w:val="Normal"/>
              <w:widowControl/>
              <w:jc w:val="both"/>
              <w:rPr>
                <w:sz w:val="22"/>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BodyText"/>
              <w:rPr/>
            </w:pPr>
            <w:r>
              <w:rPr/>
              <w:t>The average of the daily prices as published in Megawatt Daily’s Market Report under the headings "Ranges and Indexes of Trades for Standard 16-Hour Daily Products; Weighted Average Index; On-Peak Hours, HE 0700 to HE 2200; TVA, into" for power delivered during On-Peak hours on each Delivery Day during the applicable Determination Period.</w:t>
            </w:r>
          </w:p>
          <w:p>
            <w:pPr>
              <w:pStyle w:val="BodyText"/>
              <w:rPr/>
            </w:pPr>
            <w:r>
              <w:rPr/>
            </w:r>
          </w:p>
          <w:p>
            <w:pPr>
              <w:pStyle w:val="BodyText"/>
              <w:rPr/>
            </w:pPr>
            <w:r>
              <w:rPr/>
              <w:t>On-Peak Hours means the hours commencing Hour Ending (HE) 0700 through HE 2200 Central Prevailing Time Monday through Friday, excluding holidays of the North American Electric Reliability Council.</w:t>
            </w:r>
          </w:p>
          <w:p>
            <w:pPr>
              <w:pStyle w:val="Normal"/>
              <w:widowControl/>
              <w:jc w:val="both"/>
              <w:rPr>
                <w:sz w:val="22"/>
              </w:rPr>
            </w:pPr>
            <w:r>
              <w:rPr>
                <w:sz w:val="22"/>
              </w:rPr>
            </w:r>
          </w:p>
        </w:tc>
      </w:tr>
      <w:tr>
        <w:trPr/>
        <w:tc>
          <w:tcPr>
            <w:tcW w:w="4248" w:type="dxa"/>
            <w:tcBorders/>
          </w:tcPr>
          <w:p>
            <w:pPr>
              <w:pStyle w:val="Normal"/>
              <w:widowContro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«AlternatePriceLit»</w:t>
            </w:r>
            <w:r>
              <w:rPr>
                <w:sz w:val="22"/>
              </w:rPr>
              <w:fldChar w:fldCharType="end"/>
            </w:r>
          </w:p>
        </w:tc>
        <w:tc>
          <w:tcPr>
            <w:tcW w:w="5670" w:type="dxa"/>
            <w:tcBorders/>
          </w:tcPr>
          <w:p>
            <w:pPr>
              <w:pStyle w:val="Normal"/>
              <w:widowContro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«AlternatePrice»</w:t>
            </w:r>
            <w:r>
              <w:rPr>
                <w:sz w:val="22"/>
              </w:rPr>
              <w:fldChar w:fldCharType="end"/>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pPr>
            <w:r>
              <w:rPr>
                <w:sz w:val="22"/>
              </w:rPr>
              <w:t xml:space="preserve">A price per Commodity Unit equal to the excess (if a positive number) of  (i) the </w:t>
            </w:r>
            <w:r>
              <w:rPr>
                <w:sz w:val="22"/>
              </w:rPr>
              <w:fldChar w:fldCharType="begin"/>
            </w:r>
            <w:r>
              <w:rPr>
                <w:sz w:val="22"/>
              </w:rPr>
              <w:instrText xml:space="preserve"> MERGEFIELD StrikeFloatingPrice1 </w:instrText>
            </w:r>
            <w:r>
              <w:rPr>
                <w:sz w:val="22"/>
              </w:rPr>
              <w:fldChar w:fldCharType="separate"/>
            </w:r>
            <w:r>
              <w:rPr>
                <w:sz w:val="22"/>
              </w:rPr>
              <w:t>«StrikeFloatingPrice1»</w:t>
            </w:r>
            <w:r>
              <w:rPr>
                <w:sz w:val="22"/>
              </w:rPr>
              <w:fldChar w:fldCharType="end"/>
            </w:r>
            <w:r>
              <w:rPr>
                <w:sz w:val="22"/>
              </w:rPr>
              <w:t xml:space="preserve"> Price over (ii) the </w:t>
            </w:r>
            <w:r>
              <w:rPr>
                <w:sz w:val="22"/>
              </w:rPr>
              <w:fldChar w:fldCharType="begin"/>
            </w:r>
            <w:r>
              <w:rPr>
                <w:sz w:val="22"/>
              </w:rPr>
              <w:instrText xml:space="preserve"> MERGEFIELD StrikeFloatingPrice2 </w:instrText>
            </w:r>
            <w:r>
              <w:rPr>
                <w:sz w:val="22"/>
              </w:rPr>
              <w:fldChar w:fldCharType="separate"/>
            </w:r>
            <w:r>
              <w:rPr>
                <w:sz w:val="22"/>
              </w:rPr>
              <w:t>«StrikeFloatingPrice2»</w:t>
            </w:r>
            <w:r>
              <w:rPr>
                <w:sz w:val="22"/>
              </w:rPr>
              <w:fldChar w:fldCharType="end"/>
            </w:r>
            <w:r>
              <w:rPr>
                <w:sz w:val="22"/>
              </w:rPr>
              <w:t xml:space="preserv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pPr>
            <w:r>
              <w:rPr>
                <w:sz w:val="22"/>
              </w:rPr>
              <w:fldChar w:fldCharType="begin"/>
            </w:r>
            <w:r>
              <w:rPr>
                <w:sz w:val="22"/>
              </w:rPr>
              <w:instrText xml:space="preserve"> MERGEFIELD SettlementAmount </w:instrText>
            </w:r>
            <w:r>
              <w:rPr>
                <w:sz w:val="22"/>
              </w:rPr>
              <w:fldChar w:fldCharType="separate"/>
            </w:r>
            <w:r>
              <w:rPr>
                <w:sz w:val="22"/>
              </w:rPr>
              <w:t>«SettlementAmount»</w:t>
            </w:r>
            <w:r>
              <w:rPr>
                <w:sz w:val="22"/>
              </w:rPr>
              <w:fldChar w:fldCharType="end"/>
            </w:r>
            <w:r>
              <w:rPr>
                <w:sz w:val="22"/>
              </w:rPr>
              <w:t xml:space="preserve"> </w:t>
            </w:r>
            <w:r>
              <w:rPr>
                <w:sz w:val="22"/>
              </w:rPr>
              <w:t xml:space="preserve">which amount shall be due and payable on the applicable Payment Date for such Determination Period (if for any Determination Period the </w:t>
            </w:r>
            <w:r>
              <w:rPr>
                <w:sz w:val="22"/>
              </w:rPr>
              <w:fldChar w:fldCharType="begin"/>
            </w:r>
            <w:r>
              <w:rPr>
                <w:sz w:val="22"/>
              </w:rPr>
              <w:instrText xml:space="preserve"> MERGEFIELD StrikeFloatingPrice1 </w:instrText>
            </w:r>
            <w:r>
              <w:rPr>
                <w:sz w:val="22"/>
              </w:rPr>
              <w:fldChar w:fldCharType="separate"/>
            </w:r>
            <w:r>
              <w:rPr>
                <w:sz w:val="22"/>
              </w:rPr>
              <w:t>«StrikeFloatingPrice1»</w:t>
            </w:r>
            <w:r>
              <w:rPr>
                <w:sz w:val="22"/>
              </w:rPr>
              <w:fldChar w:fldCharType="end"/>
            </w:r>
            <w:r>
              <w:rPr>
                <w:sz w:val="22"/>
              </w:rPr>
              <w:t xml:space="preserve"> Price is equal to or less than the </w:t>
            </w:r>
            <w:r>
              <w:rPr>
                <w:sz w:val="22"/>
              </w:rPr>
              <w:fldChar w:fldCharType="begin"/>
            </w:r>
            <w:r>
              <w:rPr>
                <w:sz w:val="22"/>
              </w:rPr>
              <w:instrText xml:space="preserve"> MERGEFIELD StrikeFloatingPrice2 </w:instrText>
            </w:r>
            <w:r>
              <w:rPr>
                <w:sz w:val="22"/>
              </w:rPr>
              <w:fldChar w:fldCharType="separate"/>
            </w:r>
            <w:r>
              <w:rPr>
                <w:sz w:val="22"/>
              </w:rPr>
              <w:t>«StrikeFloatingPrice2»</w:t>
            </w:r>
            <w:r>
              <w:rPr>
                <w:sz w:val="22"/>
              </w:rPr>
              <w:fldChar w:fldCharType="end"/>
            </w:r>
            <w:r>
              <w:rPr>
                <w:sz w:val="22"/>
              </w:rPr>
              <w:t xml:space="preserve"> Price, then no payment shall be due with respect to such Determination Period)</w:t>
            </w:r>
          </w:p>
        </w:tc>
      </w:tr>
    </w:tbl>
    <w:p>
      <w:pPr>
        <w:pStyle w:val="Normal"/>
        <w:widowControl/>
        <w:tabs>
          <w:tab w:val="clear" w:pos="720"/>
          <w:tab w:val="left" w:pos="4320" w:leader="none"/>
        </w:tabs>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670" w:type="dxa"/>
            <w:tcBorders/>
          </w:tcPr>
          <w:p>
            <w:pPr>
              <w:pStyle w:val="Normal"/>
              <w:widowControl/>
              <w:tabs>
                <w:tab w:val="clear" w:pos="720"/>
                <w:tab w:val="left" w:pos="4230" w:leader="none"/>
              </w:tabs>
              <w:jc w:val="both"/>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widowControl/>
        <w:tabs>
          <w:tab w:val="clear" w:pos="720"/>
          <w:tab w:val="left" w:pos="4230" w:leader="none"/>
        </w:tabs>
        <w:ind w:start="720" w:end="-1260"/>
        <w:rPr>
          <w:sz w:val="22"/>
        </w:rPr>
      </w:pPr>
      <w:r>
        <w:rPr>
          <w:sz w:val="22"/>
        </w:rPr>
      </w:r>
    </w:p>
    <w:p>
      <w:pPr>
        <w:pStyle w:val="Normal"/>
        <w:widowControl/>
        <w:numPr>
          <w:ilvl w:val="0"/>
          <w:numId w:val="0"/>
        </w:numPr>
        <w:tabs>
          <w:tab w:val="clear" w:pos="720"/>
          <w:tab w:val="left" w:pos="4230" w:leader="none"/>
        </w:tabs>
        <w:outlineLvl w:val="0"/>
        <w:rPr>
          <w:sz w:val="22"/>
        </w:rPr>
      </w:pPr>
      <w:r>
        <w:rPr>
          <w:b/>
          <w:sz w:val="22"/>
        </w:rPr>
        <w:t>Contractual Currency:</w:t>
      </w:r>
      <w:r>
        <w:rPr>
          <w:sz w:val="22"/>
        </w:rPr>
        <w:tab/>
      </w:r>
      <w:r>
        <w:rPr>
          <w:sz w:val="22"/>
        </w:rPr>
        <w:fldChar w:fldCharType="begin"/>
      </w:r>
      <w:r>
        <w:rPr>
          <w:sz w:val="22"/>
        </w:rPr>
        <w:instrText xml:space="preserve"> MERGEFIELD CurrencyDesc </w:instrText>
      </w:r>
      <w:r>
        <w:rPr>
          <w:sz w:val="22"/>
        </w:rPr>
        <w:fldChar w:fldCharType="separate"/>
      </w:r>
      <w:r>
        <w:rPr>
          <w:sz w:val="22"/>
        </w:rPr>
        <w:t>«CurrencyDesc»</w:t>
      </w:r>
      <w:r>
        <w:rPr>
          <w:sz w:val="22"/>
        </w:rPr>
        <w:fldChar w:fldCharType="end"/>
      </w:r>
    </w:p>
    <w:p>
      <w:pPr>
        <w:pStyle w:val="Normal"/>
        <w:widowControl/>
        <w:rPr>
          <w:sz w:val="22"/>
        </w:rPr>
      </w:pPr>
      <w:r>
        <w:rPr>
          <w:sz w:val="22"/>
        </w:rPr>
      </w:r>
    </w:p>
    <w:p>
      <w:pPr>
        <w:pStyle w:val="Normal"/>
        <w:widowControl/>
        <w:tabs>
          <w:tab w:val="clear" w:pos="720"/>
          <w:tab w:val="left" w:pos="4230" w:leader="none"/>
        </w:tabs>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«GoverningLaw»</w:t>
      </w:r>
      <w:r>
        <w:rPr>
          <w:sz w:val="22"/>
        </w:rPr>
        <w:fldChar w:fldCharType="end"/>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pPr>
            <w:r>
              <w:rPr>
                <w:b/>
                <w:sz w:val="22"/>
              </w:rPr>
              <w:t>Credit or Other Special Provisions:</w:t>
            </w:r>
            <w:r>
              <w:rPr>
                <w:sz w:val="22"/>
              </w:rPr>
              <w:tab/>
            </w:r>
          </w:p>
        </w:tc>
        <w:tc>
          <w:tcPr>
            <w:tcW w:w="5670" w:type="dxa"/>
            <w:tcBorders/>
          </w:tcPr>
          <w:p>
            <w:pPr>
              <w:pStyle w:val="Normal"/>
              <w:widowControl/>
              <w:jc w:val="both"/>
              <w:rPr>
                <w:sz w:val="22"/>
              </w:rPr>
            </w:pPr>
            <w:r>
              <w:rPr>
                <w:sz w:val="22"/>
              </w:rPr>
              <w:fldChar w:fldCharType="begin"/>
            </w:r>
            <w:r>
              <w:rPr>
                <w:sz w:val="22"/>
              </w:rPr>
              <w:instrText xml:space="preserve"> MERGEFIELD CreditProvision </w:instrText>
            </w:r>
            <w:r>
              <w:rPr>
                <w:sz w:val="22"/>
              </w:rPr>
              <w:fldChar w:fldCharType="separate"/>
            </w:r>
            <w:r>
              <w:rPr>
                <w:sz w:val="22"/>
              </w:rPr>
              <w:t>«CreditProvision»</w:t>
            </w:r>
            <w:r>
              <w:rPr>
                <w:sz w:val="22"/>
              </w:rPr>
              <w:fldChar w:fldCharType="end"/>
            </w:r>
          </w:p>
        </w:tc>
      </w:tr>
    </w:tbl>
    <w:p>
      <w:pPr>
        <w:pStyle w:val="Normal"/>
        <w:widowContro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widowContro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widowControl/>
        <w:ind w:end="-450"/>
        <w:jc w:val="both"/>
        <w:rPr>
          <w:sz w:val="22"/>
        </w:rPr>
      </w:pPr>
      <w:r>
        <w:rPr>
          <w:sz w:val="22"/>
        </w:rPr>
      </w:r>
    </w:p>
    <w:p>
      <w:pPr>
        <w:pStyle w:val="Normal"/>
        <w:widowControl/>
        <w:ind w:end="-45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2"/>
        </w:rPr>
      </w:pPr>
      <w:r>
        <w:rPr>
          <w:sz w:val="22"/>
        </w:rPr>
      </w:r>
    </w:p>
    <w:p>
      <w:pPr>
        <w:pStyle w:val="Normal"/>
        <w:widowControl/>
        <w:ind w:end="-450"/>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t>«CanadaSecurityLanguage»</w:t>
      </w:r>
      <w:r>
        <w:rPr>
          <w:sz w:val="22"/>
        </w:rPr>
        <w:fldChar w:fldCharType="end"/>
      </w:r>
    </w:p>
    <w:p>
      <w:pPr>
        <w:pStyle w:val="Normal"/>
        <w:widowControl/>
        <w:ind w:end="-450"/>
        <w:jc w:val="both"/>
        <w:rPr>
          <w:sz w:val="22"/>
        </w:rPr>
      </w:pPr>
      <w:r>
        <w:rPr>
          <w:sz w:val="22"/>
        </w:rPr>
      </w:r>
    </w:p>
    <w:p>
      <w:pPr>
        <w:pStyle w:val="Normal"/>
        <w:widowControl/>
        <w:ind w:firstLine="720" w:end="-45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Sincerely,</w:t>
      </w:r>
    </w:p>
    <w:p>
      <w:pPr>
        <w:pStyle w:val="Normal"/>
        <w:widowControl/>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tc>
        <w:tc>
          <w:tcPr>
            <w:tcW w:w="5238" w:type="dxa"/>
            <w:tcBorders/>
          </w:tcPr>
          <w:p>
            <w:pPr>
              <w:pStyle w:val="Normal"/>
              <w:widowContro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tc>
      </w:tr>
    </w:tbl>
    <w:p>
      <w:pPr>
        <w:pStyle w:val="Normal"/>
        <w:widowControl/>
        <w:rPr>
          <w:sz w:val="22"/>
        </w:rPr>
      </w:pPr>
      <w:r>
        <w:rPr>
          <w:sz w:val="22"/>
        </w:rPr>
      </w:r>
    </w:p>
    <w:p>
      <w:pPr>
        <w:pStyle w:val="Normal"/>
        <w:widowControl/>
        <w:tabs>
          <w:tab w:val="clear" w:pos="720"/>
          <w:tab w:val="left" w:pos="4320" w:leader="none"/>
        </w:tabs>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r>
        <w:rPr>
          <w:sz w:val="22"/>
        </w:rPr>
        <w:tab/>
        <w:t xml:space="preserve">By:  </w:t>
      </w:r>
      <w:r>
        <w:rPr>
          <w:sz w:val="22"/>
          <w:u w:val="single"/>
        </w:rPr>
        <w:tab/>
        <w:tab/>
        <w:tab/>
        <w:tab/>
        <w:tab/>
        <w:tab/>
      </w:r>
    </w:p>
    <w:p>
      <w:pPr>
        <w:pStyle w:val="Normal"/>
        <w:widowControl/>
        <w:tabs>
          <w:tab w:val="clear" w:pos="720"/>
          <w:tab w:val="left" w:pos="4320" w:leader="none"/>
        </w:tabs>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r>
        <w:rPr>
          <w:sz w:val="22"/>
        </w:rPr>
        <w:tab/>
        <w:t>Name: _________________________________</w:t>
      </w:r>
    </w:p>
    <w:p>
      <w:pPr>
        <w:pStyle w:val="Normal"/>
        <w:widowControl/>
        <w:tabs>
          <w:tab w:val="clear" w:pos="720"/>
          <w:tab w:val="left" w:pos="4320" w:leader="none"/>
        </w:tabs>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rPr>
          <w:sz w:val="22"/>
        </w:rPr>
        <w:tab/>
        <w:t>Title: __________________________________</w:t>
      </w:r>
    </w:p>
    <w:p>
      <w:pPr>
        <w:pStyle w:val="Normal"/>
        <w:widowControl/>
        <w:rPr>
          <w:sz w:val="22"/>
        </w:rPr>
      </w:pPr>
      <w:r>
        <w:rPr>
          <w:sz w:val="22"/>
        </w:rPr>
      </w:r>
    </w:p>
    <w:p>
      <w:pPr>
        <w:pStyle w:val="Normal"/>
        <w:widowControl/>
        <w:ind w:end="-720"/>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«EnronFax»</w:t>
      </w:r>
      <w:r>
        <w:rPr>
          <w:sz w:val="22"/>
          <w:b/>
        </w:rPr>
        <w:fldChar w:fldCharType="end"/>
      </w:r>
    </w:p>
    <w:p>
      <w:pPr>
        <w:pStyle w:val="Normal"/>
        <w:widowControl/>
        <w:rPr>
          <w:b/>
          <w:sz w:val="22"/>
        </w:rPr>
      </w:pPr>
      <w:r>
        <w:rPr>
          <w:b/>
          <w:sz w:val="22"/>
        </w:rPr>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2"/>
              </w:rPr>
              <w:t>Address for Notices to ENA</w:t>
            </w:r>
            <w:r>
              <w:rPr>
                <w:sz w:val="22"/>
              </w:rPr>
              <w:t>:</w:t>
            </w:r>
          </w:p>
        </w:tc>
        <w:tc>
          <w:tcPr>
            <w:tcW w:w="4968" w:type="dxa"/>
            <w:tcBorders/>
          </w:tcPr>
          <w:p>
            <w:pPr>
              <w:pStyle w:val="Normal"/>
              <w:widowControl/>
              <w:rPr>
                <w:sz w:val="22"/>
              </w:rPr>
            </w:pPr>
            <w:r>
              <w:rPr>
                <w:b/>
                <w:sz w:val="22"/>
              </w:rPr>
              <w:t>Payment Account Information for ENA:</w:t>
            </w:r>
          </w:p>
        </w:tc>
      </w:tr>
      <w:tr>
        <w:trPr/>
        <w:tc>
          <w:tcPr>
            <w:tcW w:w="4608" w:type="dxa"/>
            <w:tcBorders/>
          </w:tcPr>
          <w:p>
            <w:pPr>
              <w:pStyle w:val="Normal"/>
              <w:widowControl/>
              <w:snapToGrid w:val="false"/>
              <w:rPr>
                <w:sz w:val="22"/>
              </w:rPr>
            </w:pPr>
            <w:r>
              <w:rPr>
                <w:sz w:val="22"/>
              </w:rPr>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68" w:type="dxa"/>
            <w:tcBorders/>
          </w:tcPr>
          <w:p>
            <w:pPr>
              <w:pStyle w:val="Normal"/>
              <w:widowControl/>
              <w:rPr>
                <w:sz w:val="22"/>
              </w:rPr>
            </w:pPr>
            <w:r>
              <w:rPr>
                <w:sz w:val="22"/>
              </w:rPr>
              <w:t>See invoice for wire instructions</w:t>
            </w:r>
          </w:p>
        </w:tc>
      </w:tr>
      <w:tr>
        <w:trPr/>
        <w:tc>
          <w:tcPr>
            <w:tcW w:w="4608" w:type="dxa"/>
            <w:tcBorders/>
          </w:tcPr>
          <w:p>
            <w:pPr>
              <w:pStyle w:val="Normal"/>
              <w:widowContro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Attention: Director, Documentation Department</w:t>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tc>
        <w:tc>
          <w:tcPr>
            <w:tcW w:w="4968"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rPr>
          <w:sz w:val="22"/>
        </w:rPr>
      </w:pPr>
      <w:r>
        <w:rPr>
          <w:sz w:val="22"/>
        </w:rPr>
        <w:t>With a copy of any notice given pursuant to Section 3 or 4 of Annex A or Annex B, if any, to:</w:t>
      </w:r>
    </w:p>
    <w:p>
      <w:pPr>
        <w:pStyle w:val="Normal"/>
        <w:widowControl/>
        <w:rPr>
          <w:sz w:val="22"/>
        </w:rPr>
      </w:pPr>
      <w:r>
        <w:rPr>
          <w:sz w:val="22"/>
        </w:rPr>
      </w:r>
    </w:p>
    <w:p>
      <w:pPr>
        <w:pStyle w:val="Normal"/>
        <w:widowControl/>
        <w:numPr>
          <w:ilvl w:val="0"/>
          <w:numId w:val="0"/>
        </w:numPr>
        <w:outlineLvl w:val="0"/>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Assistant General Counsel, Trading Group</w:t>
      </w:r>
    </w:p>
    <w:p>
      <w:pPr>
        <w:pStyle w:val="Normal"/>
        <w:widowControl/>
        <w:rPr>
          <w:sz w:val="22"/>
        </w:rPr>
      </w:pPr>
      <w:r>
        <w:rPr>
          <w:sz w:val="22"/>
        </w:rPr>
        <w:t>Fax: (713) 646-4818</w:t>
      </w:r>
    </w:p>
    <w:p>
      <w:pPr>
        <w:pStyle w:val="Normal"/>
        <w:widowControl/>
        <w:rPr>
          <w:sz w:val="22"/>
        </w:rPr>
      </w:pPr>
      <w:r>
        <w:rPr>
          <w:sz w:val="22"/>
        </w:rPr>
      </w:r>
    </w:p>
    <w:p>
      <w:pPr>
        <w:pStyle w:val="Normal"/>
        <w:widowControl/>
        <w:numPr>
          <w:ilvl w:val="0"/>
          <w:numId w:val="0"/>
        </w:numPr>
        <w:ind w:end="-270"/>
        <w:outlineLvl w:val="0"/>
        <w:rPr/>
      </w:pPr>
      <w:r>
        <w:rPr>
          <w:b/>
          <w:sz w:val="22"/>
          <w:u w:val="single"/>
        </w:rPr>
        <w:t>Address for Notices to Counterparty:</w:t>
      </w:r>
      <w:r>
        <w:rPr>
          <w:sz w:val="22"/>
        </w:rPr>
        <w:tab/>
        <w:tab/>
      </w:r>
      <w:r>
        <w:rPr>
          <w:b/>
          <w:sz w:val="22"/>
          <w:u w:val="single"/>
        </w:rPr>
        <w:t>Payment Account Information for Counterparty:</w:t>
      </w:r>
    </w:p>
    <w:p>
      <w:pPr>
        <w:pStyle w:val="Normal"/>
        <w:widowControl/>
        <w:rPr>
          <w:b/>
          <w:sz w:val="22"/>
          <w:u w:val="single"/>
        </w:rPr>
      </w:pPr>
      <w:r>
        <w:rPr>
          <w:b/>
          <w:sz w:val="22"/>
          <w:u w:val="single"/>
        </w:rPr>
      </w:r>
    </w:p>
    <w:p>
      <w:pPr>
        <w:pStyle w:val="Normal"/>
        <w:widowControl/>
        <w:rPr>
          <w:sz w:val="22"/>
        </w:rPr>
      </w:pPr>
      <w:r>
        <w:rPr>
          <w:sz w:val="22"/>
        </w:rPr>
        <w:t>Address: ____________________________</w:t>
        <w:tab/>
        <w:t>____________________________________________</w:t>
      </w:r>
    </w:p>
    <w:p>
      <w:pPr>
        <w:pStyle w:val="Normal"/>
        <w:widowControl/>
        <w:rPr>
          <w:sz w:val="22"/>
        </w:rPr>
      </w:pPr>
      <w:r>
        <w:rPr>
          <w:sz w:val="22"/>
        </w:rPr>
        <w:t>____________________________________</w:t>
        <w:tab/>
        <w:t>____________________________________________</w:t>
      </w:r>
    </w:p>
    <w:p>
      <w:pPr>
        <w:pStyle w:val="Normal"/>
        <w:widowControl/>
        <w:rPr>
          <w:sz w:val="22"/>
        </w:rPr>
      </w:pPr>
      <w:r>
        <w:rPr>
          <w:sz w:val="22"/>
        </w:rPr>
        <w:t xml:space="preserve"> </w:t>
      </w:r>
      <w:r>
        <w:rPr>
          <w:sz w:val="22"/>
        </w:rPr>
        <w:t>___________________________________</w:t>
        <w:tab/>
        <w:t>____________________________________________</w:t>
      </w:r>
    </w:p>
    <w:p>
      <w:pPr>
        <w:pStyle w:val="Normal"/>
        <w:widowControl/>
        <w:rPr>
          <w:sz w:val="22"/>
        </w:rPr>
      </w:pPr>
      <w:r>
        <w:rPr>
          <w:sz w:val="22"/>
        </w:rPr>
        <w:t>Attention: ___________________________       ____________________________________________</w:t>
      </w:r>
    </w:p>
    <w:p>
      <w:pPr>
        <w:pStyle w:val="Normal"/>
        <w:widowControl/>
        <w:rPr>
          <w:sz w:val="22"/>
        </w:rPr>
      </w:pPr>
      <w:r>
        <w:rPr>
          <w:sz w:val="22"/>
        </w:rPr>
        <w:t>Fax: ________________________________      ____________________________________________</w:t>
      </w:r>
    </w:p>
    <w:p>
      <w:pPr>
        <w:pStyle w:val="Normal"/>
        <w:widowControl/>
        <w:rPr>
          <w:sz w:val="22"/>
        </w:rPr>
      </w:pPr>
      <w:r>
        <w:rPr>
          <w:sz w:val="22"/>
        </w:rPr>
        <w:t>Phone: ______________________________      ____________________________________________</w:t>
      </w:r>
    </w:p>
    <w:p>
      <w:pPr>
        <w:pStyle w:val="Normal"/>
        <w:widowControl/>
        <w:rPr>
          <w:sz w:val="22"/>
        </w:rPr>
      </w:pPr>
      <w:r>
        <w:rPr>
          <w:sz w:val="22"/>
        </w:rPr>
      </w:r>
    </w:p>
    <w:p>
      <w:pPr>
        <w:pStyle w:val="Normal"/>
        <w:widowContro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widowControl/>
    </w:pPr>
    <w:rPr>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2001-04-25T18:12:00Z</dcterms:created>
  <dc:creator>Enron User</dc:creator>
  <dc:description/>
  <dc:language>en-CA</dc:language>
  <cp:lastModifiedBy>mmurphy</cp:lastModifiedBy>
  <dcterms:modified xsi:type="dcterms:W3CDTF">2001-04-25T18:24:00Z</dcterms:modified>
  <cp:revision>4</cp:revision>
  <dc:subject/>
  <dc:title> </dc:title>
</cp:coreProperties>
</file>