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EMS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if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EMS, by soliciting five or more dealer quotes and disregarding the highest quote and the lowest quote and taking the average of the remaining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i/>
          <w:i/>
          <w:sz w:val="18"/>
        </w:rPr>
      </w:pPr>
      <w:r>
        <w:rPr>
          <w:rFonts w:cs="Arial Narrow" w:ascii="Arial Narrow" w:hAnsi="Arial Narrow"/>
          <w:i/>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EMS):  (a) the failure of the Floating Price Source to announce or publish information necessary for determining the Floating Price; (b) the temporary or permanent discontinuance or unavailability of any relevant Floating Price Source; (c) a material change in the formula for or the method of determining the Floating Price; or (d)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4</w:t>
    </w:r>
  </w:p>
  <w:p>
    <w:pPr>
      <w:pStyle w:val="Footer"/>
      <w:jc w:val="center"/>
      <w:rPr>
        <w:rFonts w:ascii="Arial Narrow" w:hAnsi="Arial Narrow" w:cs="Arial Narrow"/>
        <w:sz w:val="16"/>
      </w:rPr>
    </w:pPr>
    <w:r>
      <w:rPr>
        <w:rFonts w:cs="Arial Narrow" w:ascii="Arial Narrow" w:hAnsi="Arial Narrow"/>
        <w:sz w:val="16"/>
      </w:rPr>
      <w:t>Annex A</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/mnt/main-storage/datasets/enron-docs/doc/omnibus.ems.doc</w:t>
    </w:r>
    <w:r>
      <w:rPr>
        <w:sz w:val="16"/>
        <w:rFonts w:cs="Arial Narrow" w:ascii="Arial Narrow" w:hAnsi="Arial Narrow"/>
        <w:lang w:eastAsia="en-US"/>
      </w:rPr>
      <w:fldChar w:fldCharType="end"/>
    </w:r>
  </w:p>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4</w:t>
    </w:r>
  </w:p>
  <w:p>
    <w:pPr>
      <w:pStyle w:val="Footer"/>
      <w:jc w:val="center"/>
      <w:rPr>
        <w:rFonts w:ascii="Arial Narrow" w:hAnsi="Arial Narrow" w:cs="Arial Narrow"/>
        <w:sz w:val="16"/>
      </w:rPr>
    </w:pPr>
    <w:r>
      <w:rPr>
        <w:rFonts w:cs="Arial Narrow"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EMS/U.S. Counterparty</w:t>
    </w:r>
  </w:p>
  <w:p>
    <w:pPr>
      <w:pStyle w:val="Header"/>
      <w:jc w:val="end"/>
      <w:rPr>
        <w:rFonts w:ascii="Arial Narrow" w:hAnsi="Arial Narrow" w:cs="Arial Narrow"/>
        <w:b/>
        <w:sz w:val="10"/>
        <w:u w:val="single"/>
      </w:rPr>
    </w:pPr>
    <w:r>
      <w:rPr>
        <w:rFonts w:cs="Arial Narrow" w:ascii="Arial Narrow" w:hAnsi="Arial Narrow"/>
        <w:b/>
        <w:sz w:val="10"/>
        <w:u w:val="single"/>
      </w:rPr>
      <w:t>05/02/00</w:t>
    </w:r>
  </w:p>
  <w:p>
    <w:pPr>
      <w:pStyle w:val="Header"/>
      <w:jc w:val="center"/>
      <w:rPr>
        <w:rFonts w:ascii="Arial Narrow" w:hAnsi="Arial Narrow" w:cs="Arial Narrow"/>
        <w:b/>
        <w:sz w:val="20"/>
        <w:u w:val="single"/>
      </w:rPr>
    </w:pPr>
    <w:r>
      <w:rPr>
        <w:rFonts w:cs="Arial Narrow" w:ascii="Arial Narrow" w:hAnsi="Arial Narrow"/>
        <w:b/>
        <w:sz w:val="20"/>
        <w:u w:val="single"/>
      </w:rPr>
      <w:t>ANNEX A</w:t>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GENERAL TERMS AND CONDITIONS OF CONFIRMATION</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w:t>
    </w:r>
  </w:p>
  <w:p>
    <w:pPr>
      <w:pStyle w:val="Normal"/>
      <w:jc w:val="center"/>
      <w:rPr>
        <w:rFonts w:ascii="Arial Narrow" w:hAnsi="Arial Narrow" w:cs="Arial Narrow"/>
        <w:b/>
        <w:sz w:val="18"/>
      </w:rPr>
    </w:pPr>
    <w:r>
      <w:rPr>
        <w:rFonts w:cs="Arial Narrow" w:ascii="Arial Narrow" w:hAnsi="Arial Narrow"/>
        <w:b/>
        <w:sz w:val="18"/>
      </w:rPr>
      <w:t>CREDIT OR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[TO BE INSERTED (IF APPLICABLE) WITH THE</w:t>
    </w:r>
  </w:p>
  <w:p>
    <w:pPr>
      <w:pStyle w:val="Normal"/>
      <w:jc w:val="center"/>
      <w:rPr>
        <w:rFonts w:ascii="Arial Narrow" w:hAnsi="Arial Narrow" w:cs="Arial Narrow"/>
        <w:b/>
        <w:sz w:val="18"/>
      </w:rPr>
    </w:pPr>
    <w:r>
      <w:rPr>
        <w:rFonts w:cs="Arial Narrow" w:ascii="Arial Narrow" w:hAnsi="Arial Narrow"/>
        <w:b/>
        <w:sz w:val="18"/>
      </w:rPr>
      <w:t>ASSISTANCE OF ECT CREDIT AND LEGAL]</w:t>
    </w:r>
  </w:p>
  <w:p>
    <w:pPr>
      <w:pStyle w:val="Header"/>
      <w:rPr>
        <w:rFonts w:ascii="Arial Narrow" w:hAnsi="Arial Narrow" w:cs="Arial Narrow"/>
        <w:b/>
        <w:sz w:val="18"/>
      </w:rPr>
    </w:pPr>
    <w:r>
      <w:rPr>
        <w:rFonts w:cs="Arial Narrow" w:ascii="Arial Narrow" w:hAnsi="Arial Narrow"/>
        <w:b/>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2000-07-27T23:22:00Z</dcterms:created>
  <dc:creator>ECT</dc:creator>
  <dc:description/>
  <dc:language>en-CA</dc:language>
  <cp:lastModifiedBy>cynthia_harkness</cp:lastModifiedBy>
  <cp:lastPrinted>2000-07-27T20:49:00Z</cp:lastPrinted>
  <dcterms:modified xsi:type="dcterms:W3CDTF">2000-07-27T23:22:00Z</dcterms:modified>
  <cp:revision>2</cp:revision>
  <dc:subject/>
  <dc:title>Draft of 6.19.95</dc:title>
</cp:coreProperties>
</file>