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widowControl/>
              <w:tabs>
                <w:tab w:val="clear" w:pos="720"/>
                <w:tab w:val="left" w:pos="2412" w:leader="none"/>
              </w:tabs>
              <w:ind w:start="1962" w:end="0"/>
              <w:rPr/>
            </w:pPr>
            <w:r>
              <w:rPr/>
              <w:fldChar w:fldCharType="begin"/>
            </w:r>
            <w:r>
              <w:rPr/>
              <w:instrText xml:space="preserve"> MERGEFIELD EnronLogoAddr1 </w:instrText>
            </w:r>
            <w:r>
              <w:rPr/>
              <w:fldChar w:fldCharType="separate"/>
            </w:r>
            <w:r>
              <w:rPr/>
              <w:t>1400 Smith St</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77002-7327</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EnronLogoAddr3 </w:instrText>
            </w:r>
            <w:r>
              <w:rPr/>
              <w:fldChar w:fldCharType="separate"/>
            </w:r>
            <w:r>
              <w:rPr/>
              <w:t xml:space="preserve"> </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EnronLogoTelephone </w:instrText>
            </w:r>
            <w:r>
              <w:rPr/>
              <w:fldChar w:fldCharType="separate"/>
            </w:r>
            <w:r>
              <w:rPr/>
              <w:t xml:space="preserve"> </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widowControl/>
        <w:jc w:val="center"/>
        <w:rPr>
          <w:sz w:val="22"/>
        </w:rPr>
      </w:pPr>
      <w:r>
        <w:rPr>
          <w:sz w:val="22"/>
        </w:rPr>
      </w:r>
    </w:p>
    <w:p>
      <w:pPr>
        <w:pStyle w:val="Normal"/>
        <w:widowControl/>
        <w:numPr>
          <w:ilvl w:val="0"/>
          <w:numId w:val="0"/>
        </w:numPr>
        <w:jc w:val="center"/>
        <w:outlineLvl w:val="0"/>
        <w:rPr>
          <w:b/>
          <w:sz w:val="22"/>
        </w:rPr>
      </w:pPr>
      <w:r>
        <w:rPr>
          <w:b/>
          <w:sz w:val="22"/>
          <w:u w:val="single"/>
        </w:rPr>
        <w:t>CONFIRMATION OF AN OPTION</w:t>
      </w:r>
    </w:p>
    <w:p>
      <w:pPr>
        <w:pStyle w:val="Normal"/>
        <w:widowControl/>
        <w:numPr>
          <w:ilvl w:val="0"/>
          <w:numId w:val="0"/>
        </w:numPr>
        <w:jc w:val="center"/>
        <w:outlineLvl w:val="0"/>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April 17, 2001</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Constellation Power Source, Inc.</w:t>
      </w:r>
      <w:r>
        <w:rPr>
          <w:sz w:val="22"/>
        </w:rPr>
        <w:fldChar w:fldCharType="end"/>
      </w:r>
      <w:r>
        <w:rPr>
          <w:sz w:val="22"/>
        </w:rPr>
        <w:t xml:space="preserve"> ("Counterparty")</w:t>
      </w:r>
    </w:p>
    <w:p>
      <w:pPr>
        <w:pStyle w:val="Normal"/>
        <w:widowContro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Scott Mackle</w:t>
      </w:r>
      <w:r>
        <w:rPr>
          <w:sz w:val="22"/>
        </w:rPr>
        <w:fldChar w:fldCharType="end"/>
      </w:r>
    </w:p>
    <w:p>
      <w:pPr>
        <w:pStyle w:val="Normal"/>
        <w:widowControl/>
        <w:rPr>
          <w:sz w:val="22"/>
        </w:rPr>
      </w:pPr>
      <w:r>
        <w:rPr>
          <w:sz w:val="22"/>
        </w:rPr>
        <w:t>Fax No.:</w:t>
        <w:tab/>
        <w:tab/>
        <w:tab/>
        <w:t>(410) 468-3540</w:t>
      </w:r>
    </w:p>
    <w:p>
      <w:pPr>
        <w:pStyle w:val="Normal"/>
        <w:widowContro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widowControl/>
        <w:rPr>
          <w:sz w:val="22"/>
        </w:rPr>
      </w:pPr>
      <w:r>
        <w:rPr>
          <w:sz w:val="22"/>
        </w:rPr>
        <w:t>Re:</w:t>
        <w:tab/>
        <w:tab/>
        <w:tab/>
        <w:tab/>
        <w:t>Commodity Option</w:t>
      </w:r>
    </w:p>
    <w:p>
      <w:pPr>
        <w:pStyle w:val="Normal"/>
        <w:widowContro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583460.01</w:t>
      </w:r>
      <w:r>
        <w:rPr>
          <w:sz w:val="22"/>
        </w:rPr>
        <w:fldChar w:fldCharType="end"/>
      </w:r>
    </w:p>
    <w:p>
      <w:pPr>
        <w:pStyle w:val="Normal"/>
        <w:widowControl/>
        <w:rPr>
          <w:sz w:val="22"/>
        </w:rPr>
      </w:pPr>
      <w:r>
        <w:rPr>
          <w:sz w:val="22"/>
        </w:rPr>
      </w:r>
    </w:p>
    <w:p>
      <w:pPr>
        <w:pStyle w:val="Normal"/>
        <w:widowControl/>
        <w:ind w:end="-54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numPr>
          <w:ilvl w:val="0"/>
          <w:numId w:val="0"/>
        </w:numPr>
        <w:outlineLvl w:val="0"/>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sz w:val="22"/>
        </w:rPr>
      </w:pPr>
      <w:r>
        <w:rPr>
          <w:sz w:val="22"/>
        </w:rPr>
      </w:r>
    </w:p>
    <w:p>
      <w:pPr>
        <w:pStyle w:val="Normal"/>
        <w:widowControl/>
        <w:numPr>
          <w:ilvl w:val="0"/>
          <w:numId w:val="0"/>
        </w:numPr>
        <w:outlineLvl w:val="0"/>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April 17, 2001</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widowControl/>
        <w:rPr>
          <w:sz w:val="22"/>
        </w:rPr>
      </w:pPr>
      <w:r>
        <w:rPr>
          <w:sz w:val="22"/>
        </w:rPr>
      </w:r>
    </w:p>
    <w:p>
      <w:pPr>
        <w:pStyle w:val="Normal"/>
        <w:widowControl/>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Call</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US Dollars $1,267,200.00</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April 19, 2001</w:t>
      </w:r>
      <w:r>
        <w:rPr>
          <w:sz w:val="22"/>
        </w:rPr>
        <w:fldChar w:fldCharType="end"/>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numPr>
          <w:ilvl w:val="0"/>
          <w:numId w:val="0"/>
        </w:numPr>
        <w:outlineLvl w:val="0"/>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numPr>
          <w:ilvl w:val="0"/>
          <w:numId w:val="0"/>
        </w:numPr>
        <w:outlineLvl w:val="0"/>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t>50 MWs per hour for each On Peak Hour during the Determination Period</w:t>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July 1, 2001</w:t>
      </w:r>
      <w:r>
        <w:rPr>
          <w:sz w:val="22"/>
        </w:rPr>
        <w:fldChar w:fldCharType="end"/>
      </w:r>
    </w:p>
    <w:p>
      <w:pPr>
        <w:pStyle w:val="Normal"/>
        <w:widowControl/>
        <w:rPr>
          <w:sz w:val="22"/>
        </w:rPr>
      </w:pPr>
      <w:r>
        <w:rPr>
          <w:sz w:val="22"/>
        </w:rPr>
      </w:r>
    </w:p>
    <w:p>
      <w:pPr>
        <w:pStyle w:val="Normal"/>
        <w:widowControl/>
        <w:numPr>
          <w:ilvl w:val="0"/>
          <w:numId w:val="0"/>
        </w:numPr>
        <w:outlineLvl w:val="0"/>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August 31, 2001</w:t>
      </w:r>
      <w:r>
        <w:rPr>
          <w:sz w:val="22"/>
        </w:rPr>
        <w:fldChar w:fldCharType="end"/>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sz w:val="22"/>
              </w:rPr>
            </w:pPr>
            <w:r>
              <w:rPr>
                <w:sz w:val="22"/>
              </w:rPr>
              <w:t xml:space="preserve">             </w:t>
            </w:r>
            <w:r>
              <w:rPr>
                <w:sz w:val="22"/>
              </w:rPr>
              <w:t>Determination Period(s):</w:t>
            </w:r>
          </w:p>
        </w:tc>
        <w:tc>
          <w:tcPr>
            <w:tcW w:w="5670" w:type="dxa"/>
            <w:tcBorders/>
          </w:tcPr>
          <w:p>
            <w:pPr>
              <w:pStyle w:val="Normal"/>
              <w:widowContro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July 1, 2001 and ending on August 31, 2001</w:t>
            </w:r>
            <w:r>
              <w:rPr>
                <w:sz w:val="22"/>
              </w:rPr>
              <w:fldChar w:fldCharType="end"/>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US Dollars $200.00/MWh.</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widowContro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http://www.mis.nyiso.com/public/index.html, or any successor thereto, under the headings “Day Ahead Market LBMP - Zonal; Zonal Prices; N.Y.C. (61761) (Zone J)” for electricity during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pPr>
            <w:r>
              <w:rPr>
                <w:sz w:val="22"/>
              </w:rPr>
              <w:fldChar w:fldCharType="begin"/>
            </w:r>
            <w:r>
              <w:rPr>
                <w:sz w:val="22"/>
              </w:rPr>
              <w:instrText xml:space="preserve"> MERGEFIELD SettlementAmount </w:instrText>
            </w:r>
            <w:r>
              <w:rPr>
                <w:sz w:val="22"/>
              </w:rPr>
              <w:fldChar w:fldCharType="separate"/>
            </w:r>
            <w:r>
              <w:rPr>
                <w:sz w:val="22"/>
              </w:rPr>
              <w:t>Notwithstanding any provision of the Agreement to the contrary, for each relevant Payment Date, an amount owing, if any, shall be equal to the aggregate of the product of (i) the Notional Quantity per Determination Period multiplied by (ii) the Strike price Differential for each such Determination Period</w:t>
            </w:r>
            <w:r>
              <w:rPr>
                <w:sz w:val="22"/>
              </w:rPr>
              <w:fldChar w:fldCharType="end"/>
            </w:r>
            <w:r>
              <w:rPr>
                <w:sz w:val="22"/>
              </w:rPr>
              <w:t xml:space="preserve"> </w:t>
            </w:r>
            <w:r>
              <w:rPr>
                <w:sz w:val="22"/>
              </w:rPr>
              <w:t xml:space="preserve">which amount shall be due and payable on the applicable Payment Date for such Determination Period (if for any Determination Period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670" w:type="dxa"/>
            <w:tcBorders/>
          </w:tcPr>
          <w:p>
            <w:pPr>
              <w:pStyle w:val="Normal"/>
              <w:ind w:start="-18" w:end="0"/>
              <w:jc w:val="both"/>
              <w:rPr>
                <w:sz w:val="22"/>
              </w:rPr>
            </w:pPr>
            <w:r>
              <w:rPr>
                <w:sz w:val="22"/>
              </w:rPr>
              <w:t>The fifth (5th) Business Day following the last day of the month that includes the Determination Period.</w:t>
            </w:r>
          </w:p>
        </w:tc>
      </w:tr>
    </w:tbl>
    <w:p>
      <w:pPr>
        <w:pStyle w:val="Normal"/>
        <w:widowControl/>
        <w:tabs>
          <w:tab w:val="clear" w:pos="720"/>
          <w:tab w:val="left" w:pos="4230" w:leader="none"/>
        </w:tabs>
        <w:ind w:start="720" w:end="-1260"/>
        <w:rPr>
          <w:sz w:val="22"/>
        </w:rPr>
      </w:pPr>
      <w:r>
        <w:rPr>
          <w:sz w:val="22"/>
        </w:rPr>
      </w:r>
    </w:p>
    <w:p>
      <w:pPr>
        <w:pStyle w:val="Normal"/>
        <w:widowControl/>
        <w:numPr>
          <w:ilvl w:val="0"/>
          <w:numId w:val="0"/>
        </w:numPr>
        <w:tabs>
          <w:tab w:val="clear" w:pos="720"/>
          <w:tab w:val="left" w:pos="4230" w:leader="none"/>
        </w:tabs>
        <w:outlineLvl w:val="0"/>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widowControl/>
        <w:rPr>
          <w:sz w:val="22"/>
        </w:rPr>
      </w:pPr>
      <w:r>
        <w:rPr>
          <w:sz w:val="22"/>
        </w:rPr>
      </w:r>
    </w:p>
    <w:p>
      <w:pPr>
        <w:pStyle w:val="Normal"/>
        <w:widowContro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[Texas][New York]</w:t>
      </w:r>
      <w:r>
        <w:rPr>
          <w:sz w:val="22"/>
        </w:rPr>
        <w:fldChar w:fldCharType="end"/>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fldChar w:fldCharType="begin"/>
            </w:r>
            <w:r>
              <w:rPr>
                <w:sz w:val="22"/>
              </w:rPr>
              <w:instrText xml:space="preserve"> MERGEFIELD CreditProvision </w:instrText>
            </w:r>
            <w:r>
              <w:rPr>
                <w:sz w:val="22"/>
              </w:rPr>
              <w:fldChar w:fldCharType="separate"/>
            </w:r>
            <w:r>
              <w:rPr>
                <w:sz w:val="22"/>
              </w:rPr>
              <w:t xml:space="preserve"> </w:t>
            </w:r>
            <w:r>
              <w:rPr>
                <w:sz w:val="22"/>
              </w:rPr>
              <w:fldChar w:fldCharType="end"/>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firstLine="720" w:end="-45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5238" w:type="dxa"/>
            <w:tcBorders/>
          </w:tcPr>
          <w:p>
            <w:pPr>
              <w:pStyle w:val="Normal"/>
              <w:widowControl/>
              <w:rPr>
                <w:sz w:val="22"/>
              </w:rPr>
            </w:pPr>
            <w:r>
              <w:rPr>
                <w:sz w:val="22"/>
              </w:rPr>
              <w:fldChar w:fldCharType="begin"/>
            </w:r>
            <w:r>
              <w:rPr>
                <w:sz w:val="22"/>
              </w:rPr>
              <w:instrText xml:space="preserve"> MERGEFIELD CounterpartyName </w:instrText>
            </w:r>
            <w:r>
              <w:rPr>
                <w:sz w:val="22"/>
              </w:rPr>
              <w:fldChar w:fldCharType="separate"/>
            </w:r>
            <w:r>
              <w:rPr>
                <w:sz w:val="22"/>
              </w:rPr>
              <w:t>Constellation Power Source, Inc.</w:t>
            </w:r>
            <w:r>
              <w:rPr>
                <w:sz w:val="22"/>
              </w:rPr>
              <w:fldChar w:fldCharType="end"/>
            </w:r>
          </w:p>
        </w:tc>
      </w:tr>
    </w:tbl>
    <w:p>
      <w:pPr>
        <w:pStyle w:val="Normal"/>
        <w:widowControl/>
        <w:rPr>
          <w:sz w:val="22"/>
        </w:rPr>
      </w:pPr>
      <w:r>
        <w:rPr>
          <w:sz w:val="22"/>
        </w:rPr>
      </w:r>
    </w:p>
    <w:p>
      <w:pPr>
        <w:pStyle w:val="Normal"/>
        <w:widowControl/>
        <w:tabs>
          <w:tab w:val="clear" w:pos="720"/>
          <w:tab w:val="left" w:pos="4320" w:leader="none"/>
        </w:tabs>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br/>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r>
        <w:rPr>
          <w:sz w:val="22"/>
        </w:rPr>
        <w:tab/>
        <w:t>Name: _________________________________</w:t>
      </w:r>
    </w:p>
    <w:p>
      <w:pPr>
        <w:pStyle w:val="Normal"/>
        <w:widowControl/>
        <w:tabs>
          <w:tab w:val="clear" w:pos="720"/>
          <w:tab w:val="left" w:pos="4320" w:leader="none"/>
        </w:tabs>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r>
        <w:rPr>
          <w:sz w:val="22"/>
        </w:rPr>
        <w:tab/>
        <w:t>Title: __________________________________</w:t>
      </w:r>
    </w:p>
    <w:p>
      <w:pPr>
        <w:pStyle w:val="Normal"/>
        <w:widowControl/>
        <w:rPr>
          <w:sz w:val="22"/>
        </w:rPr>
      </w:pPr>
      <w:r>
        <w:rPr>
          <w:sz w:val="22"/>
        </w:rPr>
      </w:r>
    </w:p>
    <w:p>
      <w:pPr>
        <w:pStyle w:val="Normal"/>
        <w:widowControl/>
        <w:ind w:end="-72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Address for Notices to ENA</w:t>
            </w:r>
            <w:r>
              <w:rPr>
                <w:sz w:val="22"/>
              </w:rPr>
              <w:t>:</w:t>
            </w:r>
          </w:p>
        </w:tc>
        <w:tc>
          <w:tcPr>
            <w:tcW w:w="4968" w:type="dxa"/>
            <w:tcBorders/>
          </w:tcPr>
          <w:p>
            <w:pPr>
              <w:pStyle w:val="Normal"/>
              <w:widowControl/>
              <w:rPr>
                <w:sz w:val="22"/>
              </w:rPr>
            </w:pPr>
            <w:r>
              <w:rPr>
                <w:b/>
                <w:sz w:val="22"/>
              </w:rPr>
              <w:t>Payment Account Information for ENA:</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widowControl/>
              <w:rPr>
                <w:sz w:val="22"/>
              </w:rPr>
            </w:pPr>
            <w:r>
              <w:rPr>
                <w:sz w:val="22"/>
              </w:rPr>
              <w:t>See invoice for wire instructions</w:t>
            </w:r>
          </w:p>
        </w:tc>
      </w:tr>
      <w:tr>
        <w:trPr/>
        <w:tc>
          <w:tcPr>
            <w:tcW w:w="4608" w:type="dxa"/>
            <w:tcBorders/>
          </w:tcPr>
          <w:p>
            <w:pPr>
              <w:pStyle w:val="Normal"/>
              <w:widowContro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1 - (800) 684-1336</w:t>
            </w:r>
            <w:r>
              <w:rPr>
                <w:sz w:val="22"/>
              </w:rPr>
              <w:fldChar w:fldCharType="end"/>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numPr>
          <w:ilvl w:val="0"/>
          <w:numId w:val="0"/>
        </w:numPr>
        <w:outlineLvl w:val="0"/>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numPr>
          <w:ilvl w:val="0"/>
          <w:numId w:val="0"/>
        </w:numPr>
        <w:ind w:end="-270"/>
        <w:outlineLvl w:val="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continuous"/>
      <w:pgSz w:w="12240" w:h="15840"/>
      <w:pgMar w:left="1440" w:right="1440"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583460.01</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2001-04-25T18:31:00Z</dcterms:created>
  <dc:creator>Enron User</dc:creator>
  <dc:description/>
  <dc:language>en-CA</dc:language>
  <cp:lastModifiedBy>mmurphy</cp:lastModifiedBy>
  <dcterms:modified xsi:type="dcterms:W3CDTF">2001-04-25T18:31:00Z</dcterms:modified>
  <cp:revision>2</cp:revision>
  <dc:subject/>
  <dc:title>583460.01</dc:title>
</cp:coreProperties>
</file>