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2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FILENAME \p </w:instrText>
      </w:r>
      <w:r>
        <w:rPr>
          <w:sz w:val="22"/>
          <w:b/>
          <w:rFonts w:cs="Times New Roman" w:ascii="Times New Roman" w:hAnsi="Times New Roman"/>
        </w:rPr>
        <w:fldChar w:fldCharType="separate"/>
      </w:r>
      <w:r>
        <w:rPr>
          <w:sz w:val="22"/>
          <w:b/>
          <w:rFonts w:cs="Times New Roman" w:ascii="Times New Roman" w:hAnsi="Times New Roman"/>
        </w:rPr>
        <w:t>/mnt/main-storage/datasets/enron-docs/doc/oldISDAEXH.DOC</w:t>
      </w:r>
      <w:r>
        <w:rPr>
          <w:sz w:val="22"/>
          <w:b/>
          <w:rFonts w:cs="Times New Roman" w:ascii="Times New Roman" w:hAnsi="Times New Roman"/>
        </w:rPr>
        <w:fldChar w:fldCharType="end"/>
      </w:r>
    </w:p>
    <w:p>
      <w:pPr>
        <w:pStyle w:val="Normal"/>
        <w:widowControl/>
        <w:jc w:val="end"/>
        <w:rPr>
          <w:rFonts w:ascii="Times New Roman" w:hAnsi="Times New Roman" w:cs="Times New Roman"/>
          <w:b/>
          <w:sz w:val="22"/>
        </w:rPr>
      </w:pPr>
      <w:r>
        <w:rPr>
          <w:rFonts w:cs="Times New Roman" w:ascii="Times New Roman" w:hAnsi="Times New Roman"/>
          <w:b/>
          <w:sz w:val="22"/>
        </w:rPr>
        <w:t>ISDA EXHIBITS DOCUMENT</w:t>
      </w:r>
    </w:p>
    <w:p>
      <w:pPr>
        <w:pStyle w:val="Normal"/>
        <w:widowControl/>
        <w:jc w:val="end"/>
        <w:rPr>
          <w:rFonts w:ascii="Times New Roman" w:hAnsi="Times New Roman" w:cs="Times New Roman"/>
          <w:b/>
          <w:sz w:val="22"/>
          <w:u w:val="single"/>
        </w:rPr>
      </w:pPr>
      <w:r>
        <w:rPr>
          <w:rFonts w:cs="Times New Roman" w:ascii="Times New Roman" w:hAnsi="Times New Roman"/>
          <w:b/>
          <w:sz w:val="22"/>
          <w:u w:val="single"/>
        </w:rPr>
        <w:t>DRAFT OF 1/29/98</w:t>
      </w:r>
    </w:p>
    <w:p>
      <w:pPr>
        <w:pStyle w:val="Normal"/>
        <w:widowControl/>
        <w:jc w:val="center"/>
        <w:rPr>
          <w:rFonts w:ascii="Times New Roman" w:hAnsi="Times New Roman" w:cs="Times New Roman"/>
          <w:b/>
          <w:sz w:val="22"/>
          <w:u w:val="single"/>
        </w:rPr>
      </w:pPr>
      <w:r>
        <w:rPr>
          <w:rFonts w:cs="Times New Roman" w:ascii="Times New Roman" w:hAnsi="Times New Roman"/>
          <w:b/>
          <w:sz w:val="22"/>
          <w:u w:val="single"/>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ANNEX A</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PARAGRAPH 13</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 of the ____________ of ________ ("Party B")</w:t>
            </w:r>
          </w:p>
        </w:tc>
      </w:tr>
    </w:tbl>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widowControl/>
        <w:ind w:hanging="360"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widowControl/>
        <w:ind w:start="63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[(“Treasury Bills”)][Government Obligations]</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more than one year but not more than 10 years (“Treasury Notes”)</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(D)</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more than 10 years (“Treasury Bonds”)]</w:t>
            </w:r>
            <w:r>
              <w:rPr>
                <w:rStyle w:val="FootnoteCharacters"/>
                <w:rStyle w:val="FootnoteReference"/>
              </w:rPr>
              <w:footnoteReference w:id="2"/>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95%</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(E)</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widowControl/>
              <w:rPr>
                <w:rFonts w:ascii="Times New Roman" w:hAnsi="Times New Roman" w:cs="Times New Roman"/>
                <w:sz w:val="22"/>
              </w:rPr>
            </w:pPr>
            <w:r>
              <w:rPr>
                <w:rFonts w:cs="Times New Roman" w:ascii="Times New Roman" w:hAnsi="Times New Roman"/>
                <w:sz w:val="22"/>
              </w:rPr>
              <w:t xml:space="preserve">100% of the Value of the Other Eligible Support [unless a Letter of Credit Default shall apply with respect to such Letter of Credit in which case the Valuation Percentage shall be 0. </w:t>
            </w:r>
            <w:r>
              <w:rPr>
                <w:rStyle w:val="FootnoteCharacters"/>
                <w:rStyle w:val="FootnoteReference"/>
              </w:rPr>
              <w:footnoteReference w:id="3"/>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(B)  [</w:t>
      </w:r>
      <w:r>
        <w:rPr>
          <w:rFonts w:cs="Times New Roman" w:ascii="Times New Roman" w:hAnsi="Times New Roman"/>
          <w:b/>
          <w:sz w:val="22"/>
        </w:rPr>
        <w:t>“Threshold”</w:t>
      </w:r>
      <w:r>
        <w:rPr>
          <w:rFonts w:cs="Times New Roman" w:ascii="Times New Roman" w:hAnsi="Times New Roman"/>
          <w:sz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w:t>
      </w:r>
      <w:r>
        <w:rPr>
          <w:rFonts w:cs="Times New Roman" w:ascii="Times New Roman" w:hAnsi="Times New Roman"/>
          <w:b/>
          <w:sz w:val="22"/>
        </w:rPr>
        <w:t>“Threshold”</w:t>
      </w:r>
      <w:r>
        <w:rPr>
          <w:rFonts w:cs="Times New Roman" w:ascii="Times New Roman" w:hAnsi="Times New Roman"/>
          <w:sz w:val="22"/>
        </w:rPr>
        <w:t xml:space="preserve"> means, with respect to a party (a) the amount set forth opposite the lowest Credit Rating for the party (or [in the case of Party B, ____________ and] in the case of Party A, Enron Corp.)</w:t>
      </w:r>
      <w:r>
        <w:rPr>
          <w:rStyle w:val="FootnoteCharacters"/>
          <w:rStyle w:val="FootnoteReference"/>
        </w:rPr>
        <w:footnoteReference w:id="4"/>
      </w:r>
      <w:r>
        <w:rPr>
          <w:rFonts w:cs="Times New Roman" w:ascii="Times New Roman" w:hAnsi="Times New Roman"/>
          <w:sz w:val="22"/>
        </w:rPr>
        <w:t xml:space="preserve"> on the relevant date of determination; or (b) zero if on the relevant date of determination (i) the party does not have a Credit Rating from either S&amp;P or Moody's, or (ii) an Event of Default or Potential Event of Default with respect to such party has occurred and is continuing:</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r>
          </w:p>
        </w:tc>
        <w:tc>
          <w:tcPr>
            <w:tcW w:w="2479" w:type="dxa"/>
            <w:tcBorders/>
          </w:tcPr>
          <w:p>
            <w:pPr>
              <w:pStyle w:val="Normal"/>
              <w:widowContro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(or above)</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Aa2 (or above)</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to A-</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Aa3 to 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 and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Baa1 and Baa2</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$ 0</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Below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Below Baa3</w:t>
            </w:r>
          </w:p>
        </w:tc>
      </w:tr>
    </w:tbl>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$____ and the Return Amount will be rounded down to the nearest integral multiple of U.S. $____.</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widowContro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Illegality</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Credit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None</w:t>
            </w:r>
          </w:p>
        </w:tc>
      </w:tr>
    </w:tbl>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(2)  With respect to any [Government Obligations][Treasury Bills, Treasury Notes or Treasury Bonds (referred to herein as </w:t>
      </w:r>
      <w:r>
        <w:rPr>
          <w:rFonts w:cs="Times New Roman" w:ascii="Times New Roman" w:hAnsi="Times New Roman"/>
          <w:b/>
          <w:sz w:val="22"/>
        </w:rPr>
        <w:t>“Government Obligations”</w:t>
      </w:r>
      <w:r>
        <w:rPr>
          <w:rFonts w:cs="Times New Roman" w:ascii="Times New Roman" w:hAnsi="Times New Roman"/>
          <w:sz w:val="22"/>
        </w:rPr>
        <w:t xml:space="preserve">)],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tabs>
          <w:tab w:val="clear" w:pos="720"/>
          <w:tab w:val="left" w:pos="1440" w:leader="none"/>
        </w:tabs>
        <w:spacing w:before="240" w:after="0"/>
        <w:ind w:start="720" w:end="0"/>
        <w:jc w:val="both"/>
        <w:rPr>
          <w:rFonts w:ascii="Times New Roman" w:hAnsi="Times New Roman" w:cs="Times New Roman"/>
          <w:sz w:val="22"/>
        </w:rPr>
      </w:pPr>
      <w:r>
        <w:rPr>
          <w:rFonts w:cs="Times New Roman" w:ascii="Times New Roman" w:hAnsi="Times New Roman"/>
          <w:sz w:val="22"/>
        </w:rPr>
        <w:t>[(iv)  The provisions of Paragraph 5(i)(B) are hereby amended by inserting the following immediately before the word “and” in line 5 thereof:</w:t>
      </w:r>
    </w:p>
    <w:p>
      <w:pPr>
        <w:pStyle w:val="Normal"/>
        <w:widowControl/>
        <w:spacing w:before="240" w:after="0"/>
        <w:ind w:start="720" w:end="0"/>
        <w:jc w:val="both"/>
        <w:rPr>
          <w:rFonts w:ascii="Times New Roman" w:hAnsi="Times New Roman" w:cs="Times New Roman"/>
          <w:sz w:val="22"/>
        </w:rPr>
      </w:pPr>
      <w:r>
        <w:rPr>
          <w:rFonts w:cs="Times New Roman" w:ascii="Times New Roman" w:hAnsi="Times New Roman"/>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rStyle w:val="FootnoteCharacters"/>
          <w:rStyle w:val="FootnoteReference"/>
        </w:rPr>
        <w:footnoteReference w:id="5"/>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Party A is not a Defaulting Party and [Party A’s Credit Support Provider] [Enron Corp.] has a Credit Rating and the lowest Credit Rating for [Party A’s Credit Support Provider] [Enron Corp.] is “BBB-” or higher by S&amp;P or “Baa3” or higher by Moody’s.</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Party B is not a Defaulting Party and [[it] [its Credit Support Provider] has a Credit Rating and the lowest Credit Rating for [it] [its Credit Support Provider] is “___” or higher by S&amp;P or “___” or higher by Moody’s] [a Material Adverse Change has not occurred with respect to Party B].</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t>If a party is not eligible to hold Posted Collateral pursuant to this Section, then it shall be considered a “Downgraded Party” (as defined in Section 13(g)(ii)) and Posted Collateral shall be maintained in accordance with Sections 13(g)(ii) and 13(h)(iii).</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Use of Posted Collateral.</w:t>
      </w:r>
      <w:r>
        <w:rPr>
          <w:rFonts w:cs="Times New Roman" w:ascii="Times New Roman" w:hAnsi="Times New Roman"/>
          <w:sz w:val="22"/>
        </w:rPr>
        <w:t xml:space="preserve">  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Section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Section 13(g) will constitute an Event of Default with respect to such party if the failure continues for two (2) Local Business Days after notice of the failure is given to that party.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Obligations][Treasury Bills, Treasury Notes or Treasury Bonds], if any, including all Distributions with respect to such Posted Collateral, shall be maintained in the Collateral Account by the Qualified Institution pursuant to Section 13(g)(ii), and the investment of the Posted Collateral consisting of Cash shall be governed in accordance with the following provisions: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Section 13(h)(iii)(A) will constitute an Event of Default with respect to such party if the failure continues for two (2) Local Business Days after notice of the failure is given to that party.</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rPr>
        <w:footnoteReference w:id="6"/>
      </w:r>
      <w:r>
        <w:rPr>
          <w:rFonts w:cs="Times New Roman" w:ascii="Times New Roman" w:hAnsi="Times New Roman"/>
          <w:sz w:val="22"/>
        </w:rPr>
        <w: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stated amount then available under the Letter of Credit to be unconditionally drawn by the Secured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or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this Agreement].</w:t>
      </w:r>
      <w:r>
        <w:rPr>
          <w:rStyle w:val="FootnoteCharacters"/>
          <w:rStyle w:val="FootnoteReference"/>
        </w:rPr>
        <w:footnoteReference w:id="7"/>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________________________________________.</w:t>
      </w:r>
      <w:r>
        <w:rPr>
          <w:rStyle w:val="FootnoteCharacters"/>
          <w:rStyle w:val="FootnoteReference"/>
        </w:rPr>
        <w:footnoteReference w:id="8"/>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Paragraph 3(b) is hereby amended by adding the following after the phrase “(rounded pursuant to Paragraph 13)”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ind w:start="720" w:end="0"/>
        <w:jc w:val="both"/>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Secured Party will, upon the Pledgor’s request, Transfer to the Pledgor all Posted Credit Support if the amount of such Posted Credit Support is material and if the Pledgor’s Credit Support Amount is zero.”</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within two (2) Local Business Days after such refusal.</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written demand by Y (or on or before the fifth Local Business Day without the requirement for any demand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Posted Credit Support,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3"/>
          <w:footerReference w:type="default" r:id="rId4"/>
          <w:footerReference w:type="first" r:id="rId5"/>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widowControl/>
        <w:spacing w:lineRule="exact" w:line="240"/>
        <w:jc w:val="end"/>
        <w:rPr>
          <w:rFonts w:ascii="Times New Roman" w:hAnsi="Times New Roman" w:cs="Times New Roman"/>
          <w:sz w:val="22"/>
        </w:rPr>
      </w:pPr>
      <w:r>
        <w:rPr>
          <w:rFonts w:cs="Times New Roman" w:ascii="Times New Roman" w:hAnsi="Times New Roman"/>
          <w:b/>
          <w:sz w:val="22"/>
        </w:rPr>
        <w:t>[Two-Way/Letters of Credit Only Form]</w:t>
      </w:r>
    </w:p>
    <w:p>
      <w:pPr>
        <w:pStyle w:val="Normal"/>
        <w:widowControl/>
        <w:spacing w:lineRule="exact" w:line="240"/>
        <w:jc w:val="end"/>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u w:val="single"/>
        </w:rPr>
        <w:t>ANNEX A</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u w:val="single"/>
        </w:rPr>
        <w:t>COLLATERAL AND EXPOSURE PROVISIONS</w:t>
      </w:r>
    </w:p>
    <w:p>
      <w:pPr>
        <w:pStyle w:val="BodyTextIndent"/>
        <w:rPr/>
      </w:pPr>
      <w:r>
        <w:rPr/>
        <w:t>This Annex A supplements, forms part of, and is incorporated into, the Agreement (as defined in that certain Master Agreement to which this Annex A is attached).  Capitalized terms used in this Annex A but not defined herein shall have the meanings given such terms in the Master Agreement.  This Annex A is a Credit Support Document for all purposes under the Agreement.</w:t>
      </w:r>
    </w:p>
    <w:p>
      <w:pPr>
        <w:pStyle w:val="Normal"/>
        <w:widowControl/>
        <w:tabs>
          <w:tab w:val="clear" w:pos="720"/>
          <w:tab w:val="left" w:pos="360" w:leader="none"/>
        </w:tabs>
        <w:spacing w:lineRule="exact" w:line="240" w:before="240" w:after="0"/>
        <w:ind w:hanging="720" w:start="720" w:end="1440"/>
        <w:jc w:val="both"/>
        <w:rPr/>
      </w:pPr>
      <w:r>
        <w:rPr>
          <w:rFonts w:cs="Times New Roman" w:ascii="Times New Roman" w:hAnsi="Times New Roman"/>
          <w:sz w:val="22"/>
        </w:rPr>
        <w:t xml:space="preserve">I.  </w:t>
      </w:r>
      <w:r>
        <w:rPr>
          <w:rFonts w:cs="Times New Roman" w:ascii="Times New Roman" w:hAnsi="Times New Roman"/>
          <w:sz w:val="22"/>
          <w:u w:val="single"/>
        </w:rPr>
        <w:t>Definitions</w:t>
      </w:r>
      <w:r>
        <w:rPr>
          <w:rFonts w:cs="Times New Roman" w:ascii="Times New Roman" w:hAnsi="Times New Roman"/>
          <w:sz w:val="22"/>
        </w:rPr>
        <w:t>.  As used in this Annex A:</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Business Day</w:t>
      </w:r>
      <w:r>
        <w:rPr>
          <w:rFonts w:cs="Times New Roman" w:ascii="Times New Roman" w:hAnsi="Times New Roman"/>
          <w:sz w:val="22"/>
        </w:rPr>
        <w:t>” shall mean a weekday other than a weekday on which commercial banks in New York, New York or Houston, Texas are required or authorized by law to close for business.</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Collateral Requirement</w:t>
      </w:r>
      <w:r>
        <w:rPr>
          <w:rFonts w:cs="Times New Roman" w:ascii="Times New Roman" w:hAnsi="Times New Roman"/>
          <w:sz w:val="22"/>
        </w:rPr>
        <w:t>” shall have the meaning attributed to it in Section II(b).</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Counterparty</w:t>
      </w:r>
      <w:r>
        <w:rPr>
          <w:rFonts w:cs="Times New Roman" w:ascii="Times New Roman" w:hAnsi="Times New Roman"/>
          <w:sz w:val="22"/>
        </w:rPr>
        <w:t xml:space="preserve">” shall mean </w:t>
      </w:r>
      <w:r>
        <w:rPr>
          <w:rFonts w:cs="Times New Roman" w:ascii="Times New Roman" w:hAnsi="Times New Roman"/>
          <w:sz w:val="22"/>
          <w:u w:val="single"/>
        </w:rPr>
        <w:t>______________________</w:t>
      </w:r>
      <w:r>
        <w:rPr>
          <w:rFonts w:cs="Times New Roman" w:ascii="Times New Roman" w:hAnsi="Times New Roman"/>
          <w:sz w:val="22"/>
        </w:rPr>
        <w: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shall mean, with respect to a party or entity on any date of determination, the respective rating then assigned to its unsecured and senior long-term debt or deposit obligations (not supported by third party credit enhancement) by S&amp;P, Moody’s or the specified rating agency.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Current Value</w:t>
      </w:r>
      <w:r>
        <w:rPr>
          <w:rFonts w:cs="Times New Roman" w:ascii="Times New Roman" w:hAnsi="Times New Roman"/>
          <w:sz w:val="22"/>
        </w:rPr>
        <w:t>” of an outstanding Transaction, on any date and in respect of a party, shall mean the Market Quotation for such Transaction, calculated by the Exposed Party in good faith and in a commercially reasonable manner as if:</w:t>
      </w:r>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parties to the Agreement had selected Market Quotation and the Second Method for purposes of Section 6(e) thereof;</w:t>
      </w:r>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an Early Termination Date had been effectively designated in respect of such Transaction as a result of a Termination Event, the Non-Exposed Party was the Affected Party, and Exposed Party was the non-Affected Party;</w:t>
      </w:r>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(c)  the date of calculation was an Early Termination Date; and</w:t>
      </w:r>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(d)  the requirement for four Reference Market-makers was met by having the Exposed Party make a quotation as if the Exposed Party were the sole Reference Market-maker with respect thereto.</w:t>
      </w:r>
    </w:p>
    <w:p>
      <w:pPr>
        <w:pStyle w:val="Normal"/>
        <w:widowControl/>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sz w:val="22"/>
          <w:u w:val="single"/>
        </w:rPr>
        <w:t>ECT</w:t>
      </w:r>
      <w:r>
        <w:rPr>
          <w:rFonts w:cs="Times New Roman" w:ascii="Times New Roman" w:hAnsi="Times New Roman"/>
          <w:sz w:val="22"/>
        </w:rPr>
        <w:t>” shall mean Enron Capital &amp; Trade Resources Corp.</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Exposed Party</w:t>
      </w:r>
      <w:r>
        <w:rPr>
          <w:rFonts w:cs="Times New Roman" w:ascii="Times New Roman" w:hAnsi="Times New Roman"/>
          <w:sz w:val="22"/>
        </w:rPr>
        <w:t>” shall mean a party that is entitled to receive Performance Assurance from the Non-Exposed Party in the amount of such Non-Exposed Party’s Collateral Requirement.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shall mean for each outstanding Transaction, on any date and in respect of a party (the Exposed Party), the aggregate sum of:</w:t>
      </w:r>
    </w:p>
    <w:p>
      <w:pPr>
        <w:pStyle w:val="Normal"/>
        <w:widowControl/>
        <w:tabs>
          <w:tab w:val="clear" w:pos="720"/>
          <w:tab w:val="left" w:pos="36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the Current Value of the Transaction, if any, with the party (the Exposed Party) that would be owed such amount from the other party (the Non-Exposed Party) having Exposure to the other party (the Non-Exposed Party) in such an amount.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attributed to it in Section II(a).</w:t>
      </w:r>
    </w:p>
    <w:p>
      <w:pPr>
        <w:pStyle w:val="Normal"/>
        <w:widowControl/>
        <w:spacing w:lineRule="exact" w:line="240" w:before="240" w:after="0"/>
        <w:ind w:firstLine="63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ECT, $_________, and with respect to Counterparty, $_________; provided, however, that the Exposure Threshold for a party shall be zero upon the occurrence and during the continuance of a Material Adverse Change or an Event of Default or Potential Event of Default with respect to such party.</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180" w:end="0"/>
        <w:jc w:val="both"/>
        <w:rPr>
          <w:rFonts w:ascii="Times New Roman" w:hAnsi="Times New Roman" w:cs="Times New Roman"/>
          <w:sz w:val="22"/>
        </w:rPr>
      </w:pPr>
      <w:r>
        <w:rPr>
          <w:rFonts w:cs="Times New Roman" w:ascii="Times New Roman" w:hAnsi="Times New Roman"/>
          <w:sz w:val="22"/>
        </w:rPr>
        <w:t>[If an Exposure Threshold Grid Schedule is used in Collateral Annex, then use the following in lieu of the definition of “Exposure Threshold” above:</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a party, (a) the amount set forth opposite the lowest Credit Rating for the party (or [in the case of Counterparty, _________ and] in the case of ECT, Enron Corp.) on the relevant date of determination or (b) zero if on that date the party fails to qualify for such Credit Rating (or does not have a Credit Rating) or an Event of Default or Potential Event of Default with respect to such party has occurred that is still continuing:</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tbl>
      <w:tblPr>
        <w:tblW w:w="8640" w:type="dxa"/>
        <w:jc w:val="start"/>
        <w:tblInd w:w="648" w:type="dxa"/>
        <w:tblLayout w:type="fixed"/>
        <w:tblCellMar>
          <w:top w:w="0" w:type="dxa"/>
          <w:start w:w="108" w:type="dxa"/>
          <w:bottom w:w="0" w:type="dxa"/>
          <w:end w:w="108" w:type="dxa"/>
        </w:tblCellMar>
      </w:tblPr>
      <w:tblGrid>
        <w:gridCol w:w="2880"/>
        <w:gridCol w:w="2705"/>
        <w:gridCol w:w="3055"/>
      </w:tblGrid>
      <w:tr>
        <w:trPr/>
        <w:tc>
          <w:tcPr>
            <w:tcW w:w="2880" w:type="dxa"/>
            <w:tcBorders/>
          </w:tcPr>
          <w:p>
            <w:pPr>
              <w:pStyle w:val="Normal"/>
              <w:widowControl/>
              <w:spacing w:lineRule="atLeast" w:line="240"/>
              <w:jc w:val="both"/>
              <w:rPr>
                <w:rFonts w:ascii="Times New Roman" w:hAnsi="Times New Roman" w:cs="Times New Roman"/>
                <w:sz w:val="22"/>
                <w:u w:val="single"/>
              </w:rPr>
            </w:pPr>
            <w:r>
              <w:rPr>
                <w:rFonts w:cs="Times New Roman" w:ascii="Times New Roman" w:hAnsi="Times New Roman"/>
                <w:sz w:val="22"/>
                <w:u w:val="single"/>
              </w:rPr>
              <w:t>EXPOSURE THRESHOLD</w:t>
            </w:r>
          </w:p>
        </w:tc>
        <w:tc>
          <w:tcPr>
            <w:tcW w:w="2705" w:type="dxa"/>
            <w:tcBorders/>
          </w:tcPr>
          <w:p>
            <w:pPr>
              <w:pStyle w:val="Normal"/>
              <w:widowControl/>
              <w:spacing w:lineRule="atLeast" w:line="240"/>
              <w:jc w:val="both"/>
              <w:rPr>
                <w:rFonts w:ascii="Times New Roman" w:hAnsi="Times New Roman" w:cs="Times New Roman"/>
                <w:sz w:val="22"/>
                <w:u w:val="single"/>
              </w:rPr>
            </w:pPr>
            <w:r>
              <w:rPr>
                <w:rFonts w:cs="Times New Roman" w:ascii="Times New Roman" w:hAnsi="Times New Roman"/>
                <w:sz w:val="22"/>
                <w:u w:val="single"/>
              </w:rPr>
              <w:t xml:space="preserve">S&amp;P CREDIT RATING </w:t>
            </w:r>
          </w:p>
        </w:tc>
        <w:tc>
          <w:tcPr>
            <w:tcW w:w="3055" w:type="dxa"/>
            <w:tcBorders/>
          </w:tcPr>
          <w:p>
            <w:pPr>
              <w:pStyle w:val="Normal"/>
              <w:widowControl/>
              <w:spacing w:lineRule="atLeast" w:line="240"/>
              <w:jc w:val="both"/>
              <w:rPr>
                <w:rFonts w:ascii="Times New Roman" w:hAnsi="Times New Roman" w:cs="Times New Roman"/>
                <w:sz w:val="22"/>
                <w:u w:val="single"/>
              </w:rPr>
            </w:pPr>
            <w:r>
              <w:rPr>
                <w:rFonts w:cs="Times New Roman" w:ascii="Times New Roman" w:hAnsi="Times New Roman"/>
                <w:sz w:val="22"/>
                <w:u w:val="single"/>
              </w:rPr>
              <w:t>MOODY'S CREDIT RATING</w:t>
            </w:r>
          </w:p>
        </w:tc>
      </w:tr>
      <w:tr>
        <w:trPr/>
        <w:tc>
          <w:tcPr>
            <w:tcW w:w="2880"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2705"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3055"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r>
      <w:tr>
        <w:trPr/>
        <w:tc>
          <w:tcPr>
            <w:tcW w:w="2880"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 _______________</w:t>
            </w:r>
          </w:p>
        </w:tc>
        <w:tc>
          <w:tcPr>
            <w:tcW w:w="270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AA (or above)</w:t>
            </w:r>
          </w:p>
        </w:tc>
        <w:tc>
          <w:tcPr>
            <w:tcW w:w="305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Aa2 (or above)</w:t>
            </w:r>
          </w:p>
        </w:tc>
      </w:tr>
      <w:tr>
        <w:trPr/>
        <w:tc>
          <w:tcPr>
            <w:tcW w:w="2880"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 _______________</w:t>
            </w:r>
          </w:p>
        </w:tc>
        <w:tc>
          <w:tcPr>
            <w:tcW w:w="270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AA- to A-</w:t>
            </w:r>
          </w:p>
        </w:tc>
        <w:tc>
          <w:tcPr>
            <w:tcW w:w="305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Aa3 to A3</w:t>
            </w:r>
          </w:p>
        </w:tc>
      </w:tr>
      <w:tr>
        <w:trPr/>
        <w:tc>
          <w:tcPr>
            <w:tcW w:w="2880"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 _______________</w:t>
            </w:r>
          </w:p>
        </w:tc>
        <w:tc>
          <w:tcPr>
            <w:tcW w:w="270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BBB+ and BBB</w:t>
            </w:r>
          </w:p>
        </w:tc>
        <w:tc>
          <w:tcPr>
            <w:tcW w:w="305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Baa1 to Baa2</w:t>
            </w:r>
          </w:p>
        </w:tc>
      </w:tr>
      <w:tr>
        <w:trPr/>
        <w:tc>
          <w:tcPr>
            <w:tcW w:w="2880"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 _______________</w:t>
            </w:r>
          </w:p>
        </w:tc>
        <w:tc>
          <w:tcPr>
            <w:tcW w:w="270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BBB-</w:t>
            </w:r>
          </w:p>
        </w:tc>
        <w:tc>
          <w:tcPr>
            <w:tcW w:w="305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Baa3</w:t>
            </w:r>
          </w:p>
        </w:tc>
      </w:tr>
      <w:tr>
        <w:trPr/>
        <w:tc>
          <w:tcPr>
            <w:tcW w:w="2880"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 _______________</w:t>
            </w:r>
          </w:p>
        </w:tc>
        <w:tc>
          <w:tcPr>
            <w:tcW w:w="270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below BBB-</w:t>
            </w:r>
          </w:p>
        </w:tc>
        <w:tc>
          <w:tcPr>
            <w:tcW w:w="3055" w:type="dxa"/>
            <w:tcBorders/>
          </w:tcPr>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below Baa3</w:t>
            </w:r>
          </w:p>
        </w:tc>
      </w:tr>
    </w:tbl>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Letter of Credit</w:t>
      </w:r>
      <w:r>
        <w:rPr>
          <w:rFonts w:cs="Times New Roman" w:ascii="Times New Roman" w:hAnsi="Times New Roman"/>
          <w:sz w:val="22"/>
        </w:rPr>
        <w:t xml:space="preserve">” shall mean an irrevocable, transferable, standby letter of credit, issued by a major U.S. commercial bank or foreign bank with a U.S. branch office, with such bank having a Credit Rating of at least “A-” by S&amp;P or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r>
        <w:rPr>
          <w:rStyle w:val="FootnoteCharacters"/>
          <w:rFonts w:cs="Times New Roman" w:ascii="Times New Roman" w:hAnsi="Times New Roman"/>
          <w:sz w:val="22"/>
        </w:rPr>
        <w:t xml:space="preserve"> </w:t>
      </w:r>
      <w:r>
        <w:rPr>
          <w:rStyle w:val="FootnoteCharacters"/>
          <w:rStyle w:val="FootnoteReference"/>
        </w:rPr>
        <w:footnoteReference w:id="9"/>
      </w:r>
      <w:r>
        <w:rPr>
          <w:rFonts w:cs="Times New Roman" w:ascii="Times New Roman" w:hAnsi="Times New Roman"/>
          <w:sz w:val="22"/>
        </w:rPr>
        <w:t>]</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Letter of Credit Default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rPr>
        <w:footnoteReference w:id="10"/>
      </w:r>
    </w:p>
    <w:p>
      <w:pPr>
        <w:pStyle w:val="Normal"/>
        <w:widowControl/>
        <w:spacing w:lineRule="atLeast" w:line="240"/>
        <w:ind w:firstLine="18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Material Adverse Change</w:t>
      </w:r>
      <w:r>
        <w:rPr>
          <w:rFonts w:cs="Times New Roman" w:ascii="Times New Roman" w:hAnsi="Times New Roman"/>
          <w:sz w:val="22"/>
        </w:rPr>
        <w:t>” shall mean ______________________________.</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Moody’s</w:t>
      </w:r>
      <w:r>
        <w:rPr>
          <w:rFonts w:cs="Times New Roman" w:ascii="Times New Roman" w:hAnsi="Times New Roman"/>
          <w:sz w:val="22"/>
        </w:rPr>
        <w:t>” shall mean Moody’s Investor Services, Inc. or its successor.</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Net Exposure</w:t>
      </w:r>
      <w:r>
        <w:rPr>
          <w:rFonts w:cs="Times New Roman" w:ascii="Times New Roman" w:hAnsi="Times New Roman"/>
          <w:sz w:val="22"/>
        </w:rPr>
        <w:t>” shall have the meaning attributed to it in Section II(a).</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Non-Exposed Party</w:t>
      </w:r>
      <w:r>
        <w:rPr>
          <w:rFonts w:cs="Times New Roman" w:ascii="Times New Roman" w:hAnsi="Times New Roman"/>
          <w:sz w:val="22"/>
        </w:rPr>
        <w:t>” shall mean a party that is obligated to provide Performance Assurance to the Exposed Party in an amount equal to the Non-Exposed Party’s Collateral Requirement.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Non-Requesting Party</w:t>
      </w:r>
      <w:r>
        <w:rPr>
          <w:rFonts w:cs="Times New Roman" w:ascii="Times New Roman" w:hAnsi="Times New Roman"/>
          <w:sz w:val="22"/>
        </w:rPr>
        <w:t>” shall mean the party to which a request is made to reduce the amount of Performance Assurance previously provided by the Requesting Party for the benefit of the Non-Requesting Party.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Performance Assurance</w:t>
      </w:r>
      <w:r>
        <w:rPr>
          <w:rFonts w:cs="Times New Roman" w:ascii="Times New Roman" w:hAnsi="Times New Roman"/>
          <w:sz w:val="22"/>
        </w:rPr>
        <w:t>” shall mean one or more Letters of Credit.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Requesting Party</w:t>
      </w:r>
      <w:r>
        <w:rPr>
          <w:rFonts w:cs="Times New Roman" w:ascii="Times New Roman" w:hAnsi="Times New Roman"/>
          <w:sz w:val="22"/>
        </w:rPr>
        <w:t>” shall mean the party requesting a reduction in the amount of Performance Assurance previously provided by the Requesting Party for the benefit of the Non-Requesting Party.</w:t>
      </w:r>
    </w:p>
    <w:p>
      <w:pPr>
        <w:pStyle w:val="Normal"/>
        <w:widowControl/>
        <w:spacing w:lineRule="exact" w:line="24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firstLine="720" w:end="0"/>
        <w:jc w:val="both"/>
        <w:rPr>
          <w:rFonts w:ascii="Times New Roman" w:hAnsi="Times New Roman" w:cs="Times New Roman"/>
          <w:sz w:val="22"/>
          <w:u w:val="single"/>
        </w:rPr>
      </w:pPr>
      <w:r>
        <w:rPr>
          <w:rFonts w:cs="Times New Roman" w:ascii="Times New Roman" w:hAnsi="Times New Roman"/>
          <w:sz w:val="22"/>
        </w:rPr>
        <w:t>“</w:t>
      </w:r>
      <w:r>
        <w:rPr>
          <w:rFonts w:cs="Times New Roman" w:ascii="Times New Roman" w:hAnsi="Times New Roman"/>
          <w:sz w:val="22"/>
          <w:u w:val="single"/>
        </w:rPr>
        <w:t>S&amp;P</w:t>
      </w:r>
      <w:r>
        <w:rPr>
          <w:rFonts w:cs="Times New Roman" w:ascii="Times New Roman" w:hAnsi="Times New Roman"/>
          <w:sz w:val="22"/>
        </w:rPr>
        <w:t>” shall mean the Standard &amp; Poor’s Rating Group (a division of McGraw-Hill, Inc.) or its successor.</w:t>
      </w:r>
    </w:p>
    <w:p>
      <w:pPr>
        <w:pStyle w:val="Normal"/>
        <w:widowControl/>
        <w:tabs>
          <w:tab w:val="clear" w:pos="720"/>
          <w:tab w:val="left" w:pos="360" w:leader="none"/>
          <w:tab w:val="left" w:pos="1620" w:leader="none"/>
          <w:tab w:val="left" w:pos="1980" w:leader="none"/>
        </w:tabs>
        <w:spacing w:lineRule="exact" w:line="240" w:before="240" w:after="0"/>
        <w:jc w:val="both"/>
        <w:rPr/>
      </w:pPr>
      <w:r>
        <w:rPr>
          <w:rFonts w:cs="Times New Roman" w:ascii="Times New Roman" w:hAnsi="Times New Roman"/>
          <w:sz w:val="22"/>
        </w:rPr>
        <w:t xml:space="preserve">II.  </w:t>
      </w:r>
      <w:r>
        <w:rPr>
          <w:rFonts w:cs="Times New Roman" w:ascii="Times New Roman" w:hAnsi="Times New Roman"/>
          <w:sz w:val="22"/>
          <w:u w:val="single"/>
        </w:rPr>
        <w:t>Calculations</w:t>
      </w:r>
      <w:r>
        <w:rPr>
          <w:rFonts w:cs="Times New Roman" w:ascii="Times New Roman" w:hAnsi="Times New Roman"/>
          <w:sz w:val="22"/>
        </w:rPr>
        <w:t>.  (a)  The “</w:t>
      </w:r>
      <w:r>
        <w:rPr>
          <w:rFonts w:cs="Times New Roman" w:ascii="Times New Roman" w:hAnsi="Times New Roman"/>
          <w:sz w:val="22"/>
          <w:u w:val="single"/>
        </w:rPr>
        <w:t>Exposure Amount</w:t>
      </w:r>
      <w:r>
        <w:rPr>
          <w:rFonts w:cs="Times New Roman" w:ascii="Times New Roman" w:hAnsi="Times New Roman"/>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22"/>
          <w:u w:val="single"/>
        </w:rPr>
        <w:t>Net Exposure</w:t>
      </w:r>
      <w:r>
        <w:rPr>
          <w:rFonts w:cs="Times New Roman" w:ascii="Times New Roman" w:hAnsi="Times New Roman"/>
          <w:sz w:val="22"/>
        </w:rPr>
        <w:t>” to the other party (the Non-Exposed Party) equal to the difference between its Exposure Amount and the other party’s Exposure Amount.</w:t>
      </w:r>
    </w:p>
    <w:p>
      <w:pPr>
        <w:pStyle w:val="Normal"/>
        <w:widowControl/>
        <w:spacing w:lineRule="exact" w:line="240" w:before="240" w:after="0"/>
        <w:jc w:val="both"/>
        <w:rPr/>
      </w:pPr>
      <w:r>
        <w:rPr>
          <w:rFonts w:cs="Times New Roman" w:ascii="Times New Roman" w:hAnsi="Times New Roman"/>
          <w:sz w:val="22"/>
        </w:rPr>
        <w:t>(b)</w:t>
        <w:tab/>
        <w:t>The “</w:t>
      </w:r>
      <w:r>
        <w:rPr>
          <w:rFonts w:cs="Times New Roman" w:ascii="Times New Roman" w:hAnsi="Times New Roman"/>
          <w:sz w:val="22"/>
          <w:u w:val="single"/>
        </w:rPr>
        <w:t>Collateral Requirement</w:t>
      </w:r>
      <w:r>
        <w:rPr>
          <w:rFonts w:cs="Times New Roman" w:ascii="Times New Roman" w:hAnsi="Times New Roman"/>
          <w:sz w:val="22"/>
        </w:rPr>
        <w:t>” for a Non-Exposed Party shall mean the excess, if any, of the Exposed Party’s Net Exposure over the sum of:</w:t>
      </w:r>
    </w:p>
    <w:p>
      <w:pPr>
        <w:pStyle w:val="Normal"/>
        <w:widowControl/>
        <w:tabs>
          <w:tab w:val="clear" w:pos="720"/>
          <w:tab w:val="left" w:pos="1440" w:leader="none"/>
        </w:tabs>
        <w:spacing w:lineRule="exact" w:line="240" w:before="240" w:after="0"/>
        <w:ind w:hanging="2160" w:start="2880" w:end="0"/>
        <w:jc w:val="both"/>
        <w:rPr>
          <w:rFonts w:ascii="Times New Roman" w:hAnsi="Times New Roman" w:cs="Times New Roman"/>
          <w:sz w:val="22"/>
        </w:rPr>
      </w:pPr>
      <w:r>
        <w:rPr>
          <w:rFonts w:cs="Times New Roman" w:ascii="Times New Roman" w:hAnsi="Times New Roman"/>
          <w:sz w:val="22"/>
        </w:rPr>
        <w:t>(i)</w:t>
        <w:tab/>
        <w:t>the Non-Exposed Party’s Exposure Threshold; and</w:t>
      </w:r>
    </w:p>
    <w:p>
      <w:pPr>
        <w:pStyle w:val="Normal"/>
        <w:widowControl/>
        <w:tabs>
          <w:tab w:val="clear" w:pos="720"/>
          <w:tab w:val="left" w:pos="1440" w:leader="none"/>
        </w:tabs>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(ii)</w:t>
        <w:tab/>
        <w:t>the remaining, undrawn portion of any outstanding Letter of Credit maintained by the Non-Exposed Party for the benefit of the Exposed Party.</w:t>
      </w:r>
    </w:p>
    <w:p>
      <w:pPr>
        <w:pStyle w:val="Normal"/>
        <w:widowControl/>
        <w:tabs>
          <w:tab w:val="clear" w:pos="720"/>
          <w:tab w:val="left" w:pos="360" w:leader="none"/>
          <w:tab w:val="left" w:pos="3060" w:leader="none"/>
        </w:tabs>
        <w:spacing w:lineRule="exact" w:line="240" w:before="240" w:after="0"/>
        <w:jc w:val="both"/>
        <w:rPr/>
      </w:pPr>
      <w:r>
        <w:rPr>
          <w:rFonts w:cs="Times New Roman" w:ascii="Times New Roman" w:hAnsi="Times New Roman"/>
          <w:sz w:val="22"/>
        </w:rPr>
        <w:t xml:space="preserve">III.  </w:t>
      </w:r>
      <w:r>
        <w:rPr>
          <w:rFonts w:cs="Times New Roman" w:ascii="Times New Roman" w:hAnsi="Times New Roman"/>
          <w:sz w:val="22"/>
          <w:u w:val="single"/>
        </w:rPr>
        <w:t>Performance Assurance</w:t>
      </w:r>
      <w:r>
        <w:rPr>
          <w:rFonts w:cs="Times New Roman" w:ascii="Times New Roman" w:hAnsi="Times New Roman"/>
          <w:sz w:val="22"/>
        </w:rPr>
        <w:t>.  (a)  If, on any Business Day, a Non-Exposed Party’s Collateral Requirement shall exceed One Dollar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establish and maintain,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w:t>
      </w:r>
      <w:r>
        <w:rPr>
          <w:rFonts w:cs="Times New Roman" w:ascii="Times New Roman" w:hAnsi="Times New Roman"/>
          <w:sz w:val="22"/>
          <w:u w:val="single"/>
        </w:rPr>
        <w:t>__________</w:t>
      </w:r>
      <w:r>
        <w:rPr>
          <w:rFonts w:cs="Times New Roman" w:ascii="Times New Roman" w:hAnsi="Times New Roman"/>
          <w:sz w:val="22"/>
        </w:rPr>
        <w:t>.</w:t>
      </w:r>
    </w:p>
    <w:p>
      <w:pPr>
        <w:pStyle w:val="Normal"/>
        <w:widowControl/>
        <w:tabs>
          <w:tab w:val="clear" w:pos="720"/>
          <w:tab w:val="left" w:pos="360" w:leader="none"/>
        </w:tabs>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On any Business Day (but no more frequently than weekly),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w:t>
      </w:r>
    </w:p>
    <w:p>
      <w:pPr>
        <w:pStyle w:val="Normal"/>
        <w:widowControl/>
        <w:tabs>
          <w:tab w:val="clear" w:pos="720"/>
          <w:tab w:val="left" w:pos="360" w:leader="none"/>
        </w:tabs>
        <w:spacing w:lineRule="exact" w:line="240" w:before="240" w:after="0"/>
        <w:jc w:val="both"/>
        <w:rPr/>
      </w:pPr>
      <w:r>
        <w:rPr>
          <w:rFonts w:cs="Times New Roman" w:ascii="Times New Roman" w:hAnsi="Times New Roman"/>
          <w:sz w:val="22"/>
        </w:rPr>
        <w:t xml:space="preserve">IV.  </w:t>
      </w:r>
      <w:r>
        <w:rPr>
          <w:rFonts w:cs="Times New Roman" w:ascii="Times New Roman" w:hAnsi="Times New Roman"/>
          <w:sz w:val="22"/>
          <w:u w:val="single"/>
        </w:rPr>
        <w:t>Delivery</w:t>
      </w:r>
      <w:r>
        <w:rPr>
          <w:rFonts w:cs="Times New Roman" w:ascii="Times New Roman" w:hAnsi="Times New Roman"/>
          <w:sz w:val="22"/>
        </w:rPr>
        <w:t>.  Unless otherwise agreed in writing by the parties, Performance Assurance demanded of a Non-Exposed Party by 10:00 a.m., New York time, on a Business Day shall be provided by the close of business on the second succeeding Business Day.  Any Letter of Credit shall be delivered to such address as the Exposed Party shall specify.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widowControl/>
        <w:tabs>
          <w:tab w:val="clear" w:pos="720"/>
          <w:tab w:val="left" w:pos="180" w:leader="none"/>
          <w:tab w:val="left" w:pos="360" w:leader="none"/>
          <w:tab w:val="left" w:pos="2160" w:leader="none"/>
          <w:tab w:val="left" w:pos="2520" w:leader="none"/>
        </w:tabs>
        <w:spacing w:lineRule="exact" w:line="240" w:before="240" w:after="0"/>
        <w:jc w:val="both"/>
        <w:rPr/>
      </w:pPr>
      <w:r>
        <w:rPr>
          <w:rFonts w:cs="Times New Roman" w:ascii="Times New Roman" w:hAnsi="Times New Roman"/>
          <w:sz w:val="22"/>
        </w:rPr>
        <w:t xml:space="preserve">V.  </w:t>
      </w:r>
      <w:r>
        <w:rPr>
          <w:rFonts w:cs="Times New Roman" w:ascii="Times New Roman" w:hAnsi="Times New Roman"/>
          <w:sz w:val="22"/>
          <w:u w:val="single"/>
        </w:rPr>
        <w:t>Exposure Disputes</w:t>
      </w:r>
      <w:r>
        <w:rPr>
          <w:rFonts w:cs="Times New Roman" w:ascii="Times New Roman" w:hAnsi="Times New Roman"/>
          <w:sz w:val="22"/>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 Exposed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or reduced, if necessary, in accordance with the results of such recalculation.</w:t>
      </w:r>
    </w:p>
    <w:p>
      <w:pPr>
        <w:pStyle w:val="Normal"/>
        <w:widowControl/>
        <w:spacing w:lineRule="exact" w:line="240" w:before="240" w:after="0"/>
        <w:ind w:firstLine="630" w:end="0"/>
        <w:jc w:val="both"/>
        <w:rPr>
          <w:rFonts w:ascii="Times New Roman" w:hAnsi="Times New Roman" w:cs="Times New Roman"/>
          <w:sz w:val="22"/>
        </w:rPr>
      </w:pPr>
      <w:r>
        <w:rPr>
          <w:rFonts w:cs="Times New Roman" w:ascii="Times New Roman" w:hAnsi="Times New Roman"/>
          <w:sz w:val="22"/>
        </w:rPr>
        <w: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t>
      </w:r>
    </w:p>
    <w:p>
      <w:pPr>
        <w:pStyle w:val="Normal"/>
        <w:widowControl/>
        <w:tabs>
          <w:tab w:val="clear" w:pos="720"/>
          <w:tab w:val="left" w:pos="360" w:leader="none"/>
        </w:tabs>
        <w:spacing w:lineRule="exact" w:line="240" w:before="240" w:after="0"/>
        <w:jc w:val="both"/>
        <w:rPr/>
      </w:pPr>
      <w:r>
        <w:rPr>
          <w:rFonts w:cs="Times New Roman" w:ascii="Times New Roman" w:hAnsi="Times New Roman"/>
          <w:sz w:val="22"/>
        </w:rPr>
        <w:t xml:space="preserve">VI.  </w:t>
      </w:r>
      <w:r>
        <w:rPr>
          <w:rFonts w:cs="Times New Roman" w:ascii="Times New Roman" w:hAnsi="Times New Roman"/>
          <w:sz w:val="22"/>
          <w:u w:val="single"/>
        </w:rPr>
        <w:t>Letters of Credit</w:t>
      </w:r>
      <w:r>
        <w:rPr>
          <w:rFonts w:cs="Times New Roman" w:ascii="Times New Roman" w:hAnsi="Times New Roman"/>
          <w:sz w:val="22"/>
        </w:rPr>
        <w:t>.  Performance Assurance in the form of a Letter of Credit shall be subject to the following provisions.</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When providing Performance Assurance, the Non-Exposed Party may increase the amount of an outstanding Letter of Credit or establish one or more additional Letters of Credit.</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 If the Non-Exposed Party shall fail to establish, renew, substitute, or sufficiently increase the amount of (as the case may be) one or more Letters of Credit and the Non-Exposed Party's Collateral Requirement would be greater than zero as a result of such failure, then the Exposed Party may draw on the entire, undrawn portion of any outstanding Letter of Credit upon submission to the bank issuing such Letter of Credit of one or more certificates specifying the amounts payable to the Exposed Party in accordance with the specific requirements of the Letter of Credit.  The Non-Exposed Party shall remain liable for any amounts due and owing to the Exposed Party and remaining unpaid after the application of the amounts so drawn by the Exposed Party.</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spacing w:lineRule="exact" w:line="240" w:before="240" w:after="0"/>
        <w:ind w:firstLine="630" w:end="0"/>
        <w:jc w:val="both"/>
        <w:rPr>
          <w:rFonts w:ascii="Times New Roman" w:hAnsi="Times New Roman" w:cs="Times New Roman"/>
          <w:sz w:val="22"/>
        </w:rPr>
      </w:pPr>
      <w:r>
        <w:rPr>
          <w:rFonts w:cs="Times New Roman" w:ascii="Times New Roman" w:hAnsi="Times New Roman"/>
          <w:sz w:val="22"/>
        </w:rPr>
        <w: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(g)  Upon the occurrence of a Letter of Credit Default, the Non-Exposed Party agrees to deliver a substitute Letter of Credit to the Exposed Party on or before the second Business Day after written demand by the Exposed Party (or the fifth Business Day if only clause (i) under the definition of Letter of Credit Default applies.)</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(h)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sectPr>
          <w:headerReference w:type="default" r:id="rId6"/>
          <w:headerReference w:type="first" r:id="rId7"/>
          <w:footerReference w:type="default" r:id="rId8"/>
          <w:footerReference w:type="first" r:id="rId9"/>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360" w:leader="none"/>
        </w:tabs>
        <w:spacing w:lineRule="exact" w:line="240" w:before="240" w:after="0"/>
        <w:jc w:val="both"/>
        <w:rPr/>
      </w:pPr>
      <w:r>
        <w:rPr>
          <w:rFonts w:cs="Times New Roman" w:ascii="Times New Roman" w:hAnsi="Times New Roman"/>
          <w:sz w:val="22"/>
        </w:rPr>
        <w:t xml:space="preserve">VII.  </w:t>
      </w:r>
      <w:r>
        <w:rPr>
          <w:rFonts w:cs="Times New Roman" w:ascii="Times New Roman" w:hAnsi="Times New Roman"/>
          <w:sz w:val="22"/>
          <w:u w:val="single"/>
        </w:rPr>
        <w:t>Additional Representation</w:t>
      </w:r>
      <w:r>
        <w:rPr>
          <w:rFonts w:cs="Times New Roman" w:ascii="Times New Roman" w:hAnsi="Times New Roman"/>
          <w:sz w:val="22"/>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widowControl/>
        <w:spacing w:lineRule="exact" w:line="240"/>
        <w:jc w:val="end"/>
        <w:rPr>
          <w:rFonts w:ascii="Times New Roman" w:hAnsi="Times New Roman" w:cs="Times New Roman"/>
          <w:b/>
          <w:sz w:val="22"/>
        </w:rPr>
      </w:pPr>
      <w:r>
        <w:rPr>
          <w:rFonts w:cs="Times New Roman" w:ascii="Times New Roman" w:hAnsi="Times New Roman"/>
          <w:b/>
          <w:sz w:val="22"/>
        </w:rPr>
        <w:t>[Two Way/Cash, Treasury Securities,</w:t>
      </w:r>
    </w:p>
    <w:p>
      <w:pPr>
        <w:pStyle w:val="Normal"/>
        <w:widowControl/>
        <w:spacing w:lineRule="exact" w:line="240"/>
        <w:jc w:val="end"/>
        <w:rPr>
          <w:rFonts w:ascii="Times New Roman" w:hAnsi="Times New Roman" w:cs="Times New Roman"/>
          <w:sz w:val="22"/>
        </w:rPr>
      </w:pPr>
      <w:r>
        <w:rPr>
          <w:rFonts w:cs="Times New Roman" w:ascii="Times New Roman" w:hAnsi="Times New Roman"/>
          <w:b/>
          <w:sz w:val="22"/>
        </w:rPr>
        <w:t>and Letters of Credit Form]</w:t>
      </w:r>
    </w:p>
    <w:p>
      <w:pPr>
        <w:pStyle w:val="Normal"/>
        <w:widowControl/>
        <w:spacing w:lineRule="exact" w:line="240"/>
        <w:jc w:val="end"/>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u w:val="single"/>
        </w:rPr>
        <w:t>ANNEX A</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u w:val="single"/>
        </w:rPr>
        <w:t>COLLATERAL AND EXPOSURE PROVISIONS</w:t>
      </w:r>
    </w:p>
    <w:p>
      <w:pPr>
        <w:pStyle w:val="Normal"/>
        <w:widowControl/>
        <w:spacing w:lineRule="exact" w:line="240" w:before="240" w:after="0"/>
        <w:ind w:firstLine="180" w:end="0"/>
        <w:jc w:val="both"/>
        <w:rPr>
          <w:rFonts w:ascii="Times New Roman" w:hAnsi="Times New Roman" w:cs="Times New Roman"/>
          <w:sz w:val="22"/>
        </w:rPr>
      </w:pPr>
      <w:r>
        <w:rPr>
          <w:rFonts w:cs="Times New Roman" w:ascii="Times New Roman" w:hAnsi="Times New Roman"/>
          <w:sz w:val="22"/>
        </w:rPr>
        <w:t>This Annex A supplements, forms part of, and is incorporated into, the Agreement (as defined in that certain Master Agreement to which this Annex A is attached).  Capitalized terms used in this Annex A but not defined herein shall have the meanings given such terms in the Agreement.  This Annex A is a Credit Support Document for all purposes under the Agreement.</w:t>
      </w:r>
    </w:p>
    <w:p>
      <w:pPr>
        <w:pStyle w:val="Normal"/>
        <w:keepNext w:val="true"/>
        <w:widowControl/>
        <w:tabs>
          <w:tab w:val="clear" w:pos="720"/>
          <w:tab w:val="left" w:pos="180" w:leader="none"/>
        </w:tabs>
        <w:spacing w:lineRule="exact" w:line="240" w:before="240" w:after="0"/>
        <w:ind w:hanging="720" w:start="720" w:end="1440"/>
        <w:jc w:val="both"/>
        <w:rPr/>
      </w:pPr>
      <w:r>
        <w:rPr>
          <w:rFonts w:cs="Times New Roman" w:ascii="Times New Roman" w:hAnsi="Times New Roman"/>
          <w:sz w:val="22"/>
        </w:rPr>
        <w:t xml:space="preserve">I.  </w:t>
      </w:r>
      <w:r>
        <w:rPr>
          <w:rFonts w:cs="Times New Roman" w:ascii="Times New Roman" w:hAnsi="Times New Roman"/>
          <w:sz w:val="22"/>
          <w:u w:val="single"/>
        </w:rPr>
        <w:t>Definitions</w:t>
      </w:r>
      <w:r>
        <w:rPr>
          <w:rFonts w:cs="Times New Roman" w:ascii="Times New Roman" w:hAnsi="Times New Roman"/>
          <w:sz w:val="22"/>
        </w:rPr>
        <w:t>.  As used in this Annex A:</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Business Day</w:t>
      </w:r>
      <w:r>
        <w:rPr>
          <w:rFonts w:cs="Times New Roman" w:ascii="Times New Roman" w:hAnsi="Times New Roman"/>
          <w:sz w:val="22"/>
        </w:rPr>
        <w:t>” shall mean a weekday other than a weekday on which commercial banks in New York, New York or Houston, Texas are required or authorized by law to close for business.</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Cash Collateral</w:t>
      </w:r>
      <w:r>
        <w:rPr>
          <w:rFonts w:cs="Times New Roman" w:ascii="Times New Roman" w:hAnsi="Times New Roman"/>
          <w:sz w:val="22"/>
        </w:rPr>
        <w:t>” shall mean collateral provided in the form of cash in United States dollars.</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Cash Equivalent Collateral</w:t>
      </w:r>
      <w:r>
        <w:rPr>
          <w:rFonts w:cs="Times New Roman" w:ascii="Times New Roman" w:hAnsi="Times New Roman"/>
          <w:sz w:val="22"/>
        </w:rPr>
        <w:t>” shall mean collateral provided in the form of book-entry United States Treasury Securities having an original maturity at issuance of not more than one year.</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Collateral</w:t>
      </w:r>
      <w:r>
        <w:rPr>
          <w:rFonts w:cs="Times New Roman" w:ascii="Times New Roman" w:hAnsi="Times New Roman"/>
          <w:sz w:val="22"/>
        </w:rPr>
        <w:t>” shall mean (a) Cash Collateral, and/or (b) Cash Equivalent Collateral.</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Collateral Requirement</w:t>
      </w:r>
      <w:r>
        <w:rPr>
          <w:rFonts w:cs="Times New Roman" w:ascii="Times New Roman" w:hAnsi="Times New Roman"/>
          <w:sz w:val="22"/>
        </w:rPr>
        <w:t>” shall have the meaning attributed to it in Section II(b).</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Counterparty</w:t>
      </w:r>
      <w:r>
        <w:rPr>
          <w:rFonts w:cs="Times New Roman" w:ascii="Times New Roman" w:hAnsi="Times New Roman"/>
          <w:sz w:val="22"/>
        </w:rPr>
        <w:t xml:space="preserve">” shall mean </w:t>
      </w:r>
      <w:r>
        <w:rPr>
          <w:rFonts w:cs="Times New Roman" w:ascii="Times New Roman" w:hAnsi="Times New Roman"/>
          <w:sz w:val="22"/>
          <w:u w:val="single"/>
        </w:rPr>
        <w:t>___________________________</w:t>
      </w:r>
      <w:r>
        <w:rPr>
          <w:rFonts w:cs="Times New Roman" w:ascii="Times New Roman" w:hAnsi="Times New Roman"/>
          <w:sz w:val="22"/>
        </w:rPr>
        <w: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shall mean, with respect to a party or entity on any date of determination, the respective rating then assigned to its unsecured and senior long-term debt or deposit obligations (not supported by third party credit enhancement) by S&amp;P, Moody’s or the specified rating agency.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Current Value</w:t>
      </w:r>
      <w:r>
        <w:rPr>
          <w:rFonts w:cs="Times New Roman" w:ascii="Times New Roman" w:hAnsi="Times New Roman"/>
          <w:sz w:val="22"/>
        </w:rPr>
        <w:t>” of an outstanding Transaction, on any date and in respect of a party, shall mean the Market Quotation for such Transaction, calculated by the Exposed Party in good faith and in a commercially reasonable manner as if: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parties to the Agreement had selected Market Quotation and the Second Method for purposes of Section 6(e) thereof;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an Early Termination Date had been effectively designated in respect of such Transaction as a result of a Termination Event, the Non-Exposed Party was the Affected Party, and the Exposed Party was the non-Affected Party;</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(c)  the date of calculation was the Early Termination Date; and</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(d)  the requirement for four Reference Market-makers was met by having the Exposed Party make a quotation as if the Exposed Party were the sole Reference Market-maker with respect thereto.</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Distribution</w:t>
      </w:r>
      <w:r>
        <w:rPr>
          <w:rFonts w:cs="Times New Roman" w:ascii="Times New Roman" w:hAnsi="Times New Roman"/>
          <w:sz w:val="22"/>
        </w:rPr>
        <w:t>” shall have the meaning attributed to it in Section VII(c).</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ECT</w:t>
      </w:r>
      <w:r>
        <w:rPr>
          <w:rFonts w:cs="Times New Roman" w:ascii="Times New Roman" w:hAnsi="Times New Roman"/>
          <w:sz w:val="22"/>
        </w:rPr>
        <w:t>” shall mean Enron Capital &amp; Trade Resources Corp.</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Exposed Party</w:t>
      </w:r>
      <w:r>
        <w:rPr>
          <w:rFonts w:cs="Times New Roman" w:ascii="Times New Roman" w:hAnsi="Times New Roman"/>
          <w:sz w:val="22"/>
        </w:rPr>
        <w:t>” shall mean a party that is entitled to receive Performance Assurance from the Non-Exposed Party.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shall mean for each outstanding Transaction, on any date and in respect of a party (the Exposed Party), the aggregate sum 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the Current Value of the Transaction, if any, with the party (the Exposed Party) that would be owed such amount from the other party (the Non-Exposed Party) having Exposure to the other party (the Non-Exposed Party) in such amount.</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attributed to it in Section II(a).</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xml:space="preserve">” shall mean, with respect to ECT $___________ and with respect to Counterparty $__________; </w:t>
      </w:r>
      <w:r>
        <w:rPr>
          <w:rFonts w:cs="Times New Roman" w:ascii="Times New Roman" w:hAnsi="Times New Roman"/>
          <w:sz w:val="22"/>
          <w:u w:val="single"/>
        </w:rPr>
        <w:t>provided, however</w:t>
      </w:r>
      <w:r>
        <w:rPr>
          <w:rFonts w:cs="Times New Roman" w:ascii="Times New Roman" w:hAnsi="Times New Roman"/>
          <w:sz w:val="22"/>
        </w:rPr>
        <w:t>, that the Exposure Threshold for a party shall be zero upon the occurrence and during the continuance of an Event of Default or a Potential Event of Default or a Material Adverse Change with respect to such party.</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180" w:end="0"/>
        <w:jc w:val="both"/>
        <w:rPr>
          <w:rFonts w:ascii="Times New Roman" w:hAnsi="Times New Roman" w:cs="Times New Roman"/>
          <w:sz w:val="22"/>
        </w:rPr>
      </w:pPr>
      <w:r>
        <w:rPr>
          <w:rFonts w:cs="Times New Roman" w:ascii="Times New Roman" w:hAnsi="Times New Roman"/>
          <w:sz w:val="22"/>
        </w:rPr>
        <w:t>[If an Exposure Threshold Grid Schedule is used in Collateral Annex, then use the following in lieu of the definition of “Exposure Threshold” above:</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a party, (a) the amount set forth opposite the lowest Credit Rating for the party (or [in the case of Counterparty, _________ and] in the case of ECT, Enron Corp.)</w:t>
      </w:r>
      <w:r>
        <w:rPr>
          <w:rStyle w:val="FootnoteCharacters"/>
          <w:rStyle w:val="FootnoteReference"/>
        </w:rPr>
        <w:footnoteReference w:id="11"/>
      </w:r>
      <w:r>
        <w:rPr>
          <w:rFonts w:cs="Times New Roman" w:ascii="Times New Roman" w:hAnsi="Times New Roman"/>
          <w:sz w:val="22"/>
        </w:rPr>
        <w:t xml:space="preserve"> on the relevant date of determination, or (b) zero if on the relevant date of determination the party fails to qualify for Credit Rating (or does not have a Credit Rating) or an Event of Default or a Potential Event of Default with respect to such party has occurred and is continuing:</w:t>
      </w:r>
    </w:p>
    <w:p>
      <w:pPr>
        <w:pStyle w:val="Normal"/>
        <w:widowControl/>
        <w:spacing w:lineRule="atLeast" w:line="240"/>
        <w:ind w:firstLine="1440" w:end="0"/>
        <w:jc w:val="both"/>
        <w:rPr>
          <w:rFonts w:ascii="Times New Roman" w:hAnsi="Times New Roman" w:cs="Times New Roman"/>
          <w:sz w:val="22"/>
        </w:rPr>
      </w:pPr>
      <w:r>
        <w:rPr>
          <w:rFonts w:cs="Times New Roman" w:ascii="Times New Roman" w:hAnsi="Times New Roman"/>
          <w:sz w:val="22"/>
        </w:rPr>
      </w:r>
    </w:p>
    <w:tbl>
      <w:tblPr>
        <w:tblW w:w="9630" w:type="dxa"/>
        <w:jc w:val="start"/>
        <w:tblInd w:w="378" w:type="dxa"/>
        <w:tblLayout w:type="fixed"/>
        <w:tblCellMar>
          <w:top w:w="0" w:type="dxa"/>
          <w:start w:w="108" w:type="dxa"/>
          <w:bottom w:w="0" w:type="dxa"/>
          <w:end w:w="108" w:type="dxa"/>
        </w:tblCellMar>
      </w:tblPr>
      <w:tblGrid>
        <w:gridCol w:w="2970"/>
        <w:gridCol w:w="3108"/>
        <w:gridCol w:w="3552"/>
      </w:tblGrid>
      <w:tr>
        <w:trPr/>
        <w:tc>
          <w:tcPr>
            <w:tcW w:w="2970" w:type="dxa"/>
            <w:tcBorders/>
          </w:tcPr>
          <w:p>
            <w:pPr>
              <w:pStyle w:val="Normal"/>
              <w:widowControl/>
              <w:rPr>
                <w:rFonts w:ascii="Times New Roman" w:hAnsi="Times New Roman" w:cs="Times New Roman"/>
                <w:sz w:val="22"/>
              </w:rPr>
            </w:pPr>
            <w:r>
              <w:rPr>
                <w:rFonts w:cs="Times New Roman" w:ascii="Times New Roman" w:hAnsi="Times New Roman"/>
                <w:b/>
                <w:sz w:val="22"/>
                <w:u w:val="single"/>
              </w:rPr>
              <w:t>EXPOSURE THRESHOLD</w:t>
            </w:r>
          </w:p>
        </w:tc>
        <w:tc>
          <w:tcPr>
            <w:tcW w:w="3108" w:type="dxa"/>
            <w:tcBorders/>
          </w:tcPr>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r>
          </w:p>
        </w:tc>
        <w:tc>
          <w:tcPr>
            <w:tcW w:w="3552" w:type="dxa"/>
            <w:tcBorders/>
          </w:tcPr>
          <w:p>
            <w:pPr>
              <w:pStyle w:val="Normal"/>
              <w:widowContro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970"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w:t>
            </w:r>
          </w:p>
        </w:tc>
        <w:tc>
          <w:tcPr>
            <w:tcW w:w="3108"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(or above)</w:t>
            </w:r>
          </w:p>
        </w:tc>
        <w:tc>
          <w:tcPr>
            <w:tcW w:w="3552" w:type="dxa"/>
            <w:tcBorders/>
          </w:tcPr>
          <w:p>
            <w:pPr>
              <w:pStyle w:val="Normal"/>
              <w:widowControl/>
              <w:rPr>
                <w:rFonts w:ascii="Times New Roman" w:hAnsi="Times New Roman" w:cs="Times New Roman"/>
                <w:sz w:val="22"/>
              </w:rPr>
            </w:pPr>
            <w:r>
              <w:rPr>
                <w:rFonts w:cs="Times New Roman" w:ascii="Times New Roman" w:hAnsi="Times New Roman"/>
                <w:sz w:val="22"/>
              </w:rPr>
              <w:t>Aa2 (or above)</w:t>
            </w:r>
          </w:p>
        </w:tc>
      </w:tr>
      <w:tr>
        <w:trPr/>
        <w:tc>
          <w:tcPr>
            <w:tcW w:w="2970"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w:t>
            </w:r>
          </w:p>
        </w:tc>
        <w:tc>
          <w:tcPr>
            <w:tcW w:w="3108"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to A-</w:t>
            </w:r>
          </w:p>
        </w:tc>
        <w:tc>
          <w:tcPr>
            <w:tcW w:w="3552" w:type="dxa"/>
            <w:tcBorders/>
          </w:tcPr>
          <w:p>
            <w:pPr>
              <w:pStyle w:val="Normal"/>
              <w:widowControl/>
              <w:rPr>
                <w:rFonts w:ascii="Times New Roman" w:hAnsi="Times New Roman" w:cs="Times New Roman"/>
                <w:sz w:val="22"/>
              </w:rPr>
            </w:pPr>
            <w:r>
              <w:rPr>
                <w:rFonts w:cs="Times New Roman" w:ascii="Times New Roman" w:hAnsi="Times New Roman"/>
                <w:sz w:val="22"/>
              </w:rPr>
              <w:t>Aa3 to A3</w:t>
            </w:r>
          </w:p>
        </w:tc>
      </w:tr>
      <w:tr>
        <w:trPr/>
        <w:tc>
          <w:tcPr>
            <w:tcW w:w="2970"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w:t>
            </w:r>
          </w:p>
        </w:tc>
        <w:tc>
          <w:tcPr>
            <w:tcW w:w="3108"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 and BBB</w:t>
            </w:r>
          </w:p>
        </w:tc>
        <w:tc>
          <w:tcPr>
            <w:tcW w:w="3552" w:type="dxa"/>
            <w:tcBorders/>
          </w:tcPr>
          <w:p>
            <w:pPr>
              <w:pStyle w:val="Normal"/>
              <w:widowControl/>
              <w:rPr>
                <w:rFonts w:ascii="Times New Roman" w:hAnsi="Times New Roman" w:cs="Times New Roman"/>
                <w:sz w:val="22"/>
              </w:rPr>
            </w:pPr>
            <w:r>
              <w:rPr>
                <w:rFonts w:cs="Times New Roman" w:ascii="Times New Roman" w:hAnsi="Times New Roman"/>
                <w:sz w:val="22"/>
              </w:rPr>
              <w:t>Baa1 and Baa2</w:t>
            </w:r>
          </w:p>
        </w:tc>
      </w:tr>
      <w:tr>
        <w:trPr/>
        <w:tc>
          <w:tcPr>
            <w:tcW w:w="2970"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w:t>
            </w:r>
          </w:p>
        </w:tc>
        <w:tc>
          <w:tcPr>
            <w:tcW w:w="3108"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w:t>
            </w:r>
          </w:p>
        </w:tc>
        <w:tc>
          <w:tcPr>
            <w:tcW w:w="3552" w:type="dxa"/>
            <w:tcBorders/>
          </w:tcPr>
          <w:p>
            <w:pPr>
              <w:pStyle w:val="Normal"/>
              <w:widowControl/>
              <w:rPr>
                <w:rFonts w:ascii="Times New Roman" w:hAnsi="Times New Roman" w:cs="Times New Roman"/>
                <w:sz w:val="22"/>
              </w:rPr>
            </w:pPr>
            <w:r>
              <w:rPr>
                <w:rFonts w:cs="Times New Roman" w:ascii="Times New Roman" w:hAnsi="Times New Roman"/>
                <w:sz w:val="22"/>
              </w:rPr>
              <w:t>Baa3</w:t>
            </w:r>
          </w:p>
        </w:tc>
      </w:tr>
      <w:tr>
        <w:trPr/>
        <w:tc>
          <w:tcPr>
            <w:tcW w:w="2970"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w:t>
            </w:r>
          </w:p>
        </w:tc>
        <w:tc>
          <w:tcPr>
            <w:tcW w:w="3108"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Below BBB-</w:t>
            </w:r>
          </w:p>
        </w:tc>
        <w:tc>
          <w:tcPr>
            <w:tcW w:w="3552" w:type="dxa"/>
            <w:tcBorders/>
          </w:tcPr>
          <w:p>
            <w:pPr>
              <w:pStyle w:val="Normal"/>
              <w:widowControl/>
              <w:rPr>
                <w:rFonts w:ascii="Times New Roman" w:hAnsi="Times New Roman" w:cs="Times New Roman"/>
                <w:sz w:val="22"/>
              </w:rPr>
            </w:pPr>
            <w:r>
              <w:rPr>
                <w:rFonts w:cs="Times New Roman" w:ascii="Times New Roman" w:hAnsi="Times New Roman"/>
                <w:sz w:val="22"/>
              </w:rPr>
              <w:t>Below Baa3</w:t>
            </w:r>
          </w:p>
        </w:tc>
      </w:tr>
    </w:tbl>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Federal Funds Overnight Rate</w:t>
      </w:r>
      <w:r>
        <w:rPr>
          <w:rFonts w:cs="Times New Roman" w:ascii="Times New Roman" w:hAnsi="Times New Roman"/>
          <w:sz w:val="22"/>
        </w:rPr>
        <w:t>” shall have the meaning attributed to it in Section VII(c).</w:t>
      </w:r>
    </w:p>
    <w:p>
      <w:pPr>
        <w:pStyle w:val="Normal"/>
        <w:widowContro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Interest Amount</w:t>
      </w:r>
      <w:r>
        <w:rPr>
          <w:rFonts w:cs="Times New Roman" w:ascii="Times New Roman" w:hAnsi="Times New Roman"/>
          <w:sz w:val="22"/>
        </w:rPr>
        <w:t>” shall have the meaning attributed to it in Section VII(c).</w:t>
      </w:r>
    </w:p>
    <w:p>
      <w:pPr>
        <w:pStyle w:val="Normal"/>
        <w:widowContro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Interest Period</w:t>
      </w:r>
      <w:r>
        <w:rPr>
          <w:rFonts w:cs="Times New Roman" w:ascii="Times New Roman" w:hAnsi="Times New Roman"/>
          <w:sz w:val="22"/>
        </w:rPr>
        <w:t>” shall have the meaning attributed to it in Section VII(c).</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Letter of Credit</w:t>
      </w:r>
      <w:r>
        <w:rPr>
          <w:rFonts w:cs="Times New Roman" w:ascii="Times New Roman" w:hAnsi="Times New Roman"/>
          <w:sz w:val="22"/>
        </w:rPr>
        <w:t xml:space="preserve">” shall mean an irrevocable, transferable, standby letter of credit, issued by a major U.S. commercial bank or a foreign bank with a U.S. branch office, with such bank having a Credit Rating of at least  “A-” by S&amp;P or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r>
        <w:rPr>
          <w:rStyle w:val="FootnoteCharacters"/>
          <w:rStyle w:val="FootnoteReference"/>
        </w:rPr>
        <w:footnoteReference w:id="12"/>
      </w:r>
    </w:p>
    <w:p>
      <w:pPr>
        <w:pStyle w:val="Normal"/>
        <w:widowContro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Letter of Credit Default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rPr>
        <w:footnoteReference w:id="13"/>
      </w:r>
    </w:p>
    <w:p>
      <w:pPr>
        <w:pStyle w:val="Normal"/>
        <w:widowControl/>
        <w:spacing w:lineRule="atLeast" w:line="240"/>
        <w:ind w:firstLine="18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Material Adverse Change</w:t>
      </w:r>
      <w:r>
        <w:rPr>
          <w:rFonts w:cs="Times New Roman" w:ascii="Times New Roman" w:hAnsi="Times New Roman"/>
          <w:sz w:val="22"/>
        </w:rPr>
        <w:t>” shall mean __________________________________.</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Moody’s</w:t>
      </w:r>
      <w:r>
        <w:rPr>
          <w:rFonts w:cs="Times New Roman" w:ascii="Times New Roman" w:hAnsi="Times New Roman"/>
          <w:sz w:val="22"/>
        </w:rPr>
        <w:t>” shall mean Moody’s Investors Services, Inc. or its successor.</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Net Exposure</w:t>
      </w:r>
      <w:r>
        <w:rPr>
          <w:rFonts w:cs="Times New Roman" w:ascii="Times New Roman" w:hAnsi="Times New Roman"/>
          <w:sz w:val="22"/>
        </w:rPr>
        <w:t>” shall have the meaning attributed to it in Section II(a).</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Non-Exposed Party</w:t>
      </w:r>
      <w:r>
        <w:rPr>
          <w:rFonts w:cs="Times New Roman" w:ascii="Times New Roman" w:hAnsi="Times New Roman"/>
          <w:sz w:val="22"/>
        </w:rPr>
        <w:t>” shall mean a party that is obligated to provide Performance Assurance.</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Non-Requesting Party</w:t>
      </w:r>
      <w:r>
        <w:rPr>
          <w:rFonts w:cs="Times New Roman" w:ascii="Times New Roman" w:hAnsi="Times New Roman"/>
          <w:sz w:val="22"/>
        </w:rPr>
        <w:t>” shall mean the party to which a request is made to reduce the amount of Performance Assurance previously provided by the Requesting Party for the benefit of the Non-Requesting Party.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Performance Assurance</w:t>
      </w:r>
      <w:r>
        <w:rPr>
          <w:rFonts w:cs="Times New Roman" w:ascii="Times New Roman" w:hAnsi="Times New Roman"/>
          <w:sz w:val="22"/>
        </w:rPr>
        <w:t>” shall mean (i) one or more Letters of Credit, and/or (ii) Collateral.</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Potential Event of Default</w:t>
      </w:r>
      <w:r>
        <w:rPr>
          <w:rFonts w:cs="Times New Roman" w:ascii="Times New Roman" w:hAnsi="Times New Roman"/>
          <w:sz w:val="22"/>
        </w:rPr>
        <w:t>” shall mean an event that would constitute an Event of Default with the lapse of time or giving of notice or both.</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shall have the meaning attributed to it in Section VII(b).</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Requesting Party</w:t>
      </w:r>
      <w:r>
        <w:rPr>
          <w:rFonts w:cs="Times New Roman" w:ascii="Times New Roman" w:hAnsi="Times New Roman"/>
          <w:sz w:val="22"/>
        </w:rPr>
        <w:t>” shall mean the party requesting a reduction in the amount of Performance Assurance previously provided by the Requesting Party for the benefit of the Non-Requesting Party.</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S&amp;P</w:t>
      </w:r>
      <w:r>
        <w:rPr>
          <w:rFonts w:cs="Times New Roman" w:ascii="Times New Roman" w:hAnsi="Times New Roman"/>
          <w:sz w:val="22"/>
        </w:rPr>
        <w:t>” shall mean the Standard &amp; Poor’s Rating Group (a division of McGraw-Hill, Inc.) or its successor.</w:t>
      </w:r>
    </w:p>
    <w:p>
      <w:pPr>
        <w:pStyle w:val="Normal"/>
        <w:widowContro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Transfer</w:t>
      </w:r>
      <w:r>
        <w:rPr>
          <w:rFonts w:cs="Times New Roman" w:ascii="Times New Roman" w:hAnsi="Times New Roman"/>
          <w:sz w:val="22"/>
        </w:rPr>
        <w:t>” shall mean, with respect to any Performance Assurance, Distribution or Interest Amount, and in accordance with the instructions of the Exposed Party, the Non-Exposed Party or the Requesting Party, as applicable:</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in the case of cash, payment or delivery by wire transfer into one or more bank accounts specified by the recipient;</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(iii)</w:t>
        <w:tab/>
        <w:t>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(iv)</w:t>
        <w:tab/>
        <w:t>in the case of Letters of Credit, delivery of the Letter of Credit or an amendment thereto to the recipient.</w:t>
      </w:r>
    </w:p>
    <w:p>
      <w:pPr>
        <w:pStyle w:val="Normal"/>
        <w:widowControl/>
        <w:tabs>
          <w:tab w:val="clear" w:pos="720"/>
          <w:tab w:val="left" w:pos="360" w:leader="none"/>
          <w:tab w:val="left" w:pos="1620" w:leader="none"/>
        </w:tabs>
        <w:spacing w:lineRule="exact" w:line="240" w:before="240" w:after="0"/>
        <w:jc w:val="both"/>
        <w:rPr/>
      </w:pPr>
      <w:r>
        <w:rPr>
          <w:rFonts w:cs="Times New Roman" w:ascii="Times New Roman" w:hAnsi="Times New Roman"/>
          <w:sz w:val="22"/>
        </w:rPr>
        <w:t xml:space="preserve">II.  </w:t>
      </w:r>
      <w:r>
        <w:rPr>
          <w:rFonts w:cs="Times New Roman" w:ascii="Times New Roman" w:hAnsi="Times New Roman"/>
          <w:sz w:val="22"/>
          <w:u w:val="single"/>
        </w:rPr>
        <w:t xml:space="preserve">Calculations  </w:t>
      </w:r>
      <w:r>
        <w:rPr>
          <w:rFonts w:cs="Times New Roman" w:ascii="Times New Roman" w:hAnsi="Times New Roman"/>
          <w:sz w:val="22"/>
        </w:rPr>
        <w:t>(a)  The “</w:t>
      </w:r>
      <w:r>
        <w:rPr>
          <w:rFonts w:cs="Times New Roman" w:ascii="Times New Roman" w:hAnsi="Times New Roman"/>
          <w:sz w:val="22"/>
          <w:u w:val="single"/>
        </w:rPr>
        <w:t>Exposure Amount</w:t>
      </w:r>
      <w:r>
        <w:rPr>
          <w:rFonts w:cs="Times New Roman" w:ascii="Times New Roman" w:hAnsi="Times New Roman"/>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22"/>
          <w:u w:val="single"/>
        </w:rPr>
        <w:t>Net Exposure</w:t>
      </w:r>
      <w:r>
        <w:rPr>
          <w:rFonts w:cs="Times New Roman" w:ascii="Times New Roman" w:hAnsi="Times New Roman"/>
          <w:sz w:val="22"/>
        </w:rPr>
        <w:t>” to the other party (the Non-Exposed Party) equal to the difference between its Exposure Amount and the other party’s Exposure Amount.</w:t>
      </w:r>
    </w:p>
    <w:p>
      <w:pPr>
        <w:pStyle w:val="Normal"/>
        <w:widowControl/>
        <w:spacing w:lineRule="exact" w:line="240" w:before="240" w:after="0"/>
        <w:jc w:val="both"/>
        <w:rPr/>
      </w:pPr>
      <w:r>
        <w:rPr>
          <w:rFonts w:cs="Times New Roman" w:ascii="Times New Roman" w:hAnsi="Times New Roman"/>
          <w:sz w:val="22"/>
        </w:rPr>
        <w:t>(b)  The “</w:t>
      </w:r>
      <w:r>
        <w:rPr>
          <w:rFonts w:cs="Times New Roman" w:ascii="Times New Roman" w:hAnsi="Times New Roman"/>
          <w:sz w:val="22"/>
          <w:u w:val="single"/>
        </w:rPr>
        <w:t>Collateral Requirement</w:t>
      </w:r>
      <w:r>
        <w:rPr>
          <w:rFonts w:cs="Times New Roman" w:ascii="Times New Roman" w:hAnsi="Times New Roman"/>
          <w:sz w:val="22"/>
        </w:rPr>
        <w:t>” for a Non-Exposed Party shall mean the excess, if any, of the Exposed Party's Net Exposure over the sum of:</w:t>
      </w:r>
    </w:p>
    <w:p>
      <w:pPr>
        <w:pStyle w:val="Normal"/>
        <w:widowControl/>
        <w:tabs>
          <w:tab w:val="clear" w:pos="720"/>
          <w:tab w:val="left" w:pos="1440" w:leader="none"/>
          <w:tab w:val="left" w:pos="216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Non-Exposed Party’s Exposure Threshold;</w:t>
      </w:r>
    </w:p>
    <w:p>
      <w:pPr>
        <w:pStyle w:val="Normal"/>
        <w:widowControl/>
        <w:tabs>
          <w:tab w:val="clear" w:pos="720"/>
          <w:tab w:val="left" w:pos="144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 xml:space="preserve"> the amount of Cash Collateral previously delivered by the Non-Exposed Party and any Interest Amount that has not yet been delivered to the Non-Exposed Party;</w:t>
      </w:r>
    </w:p>
    <w:p>
      <w:pPr>
        <w:pStyle w:val="Normal"/>
        <w:widowControl/>
        <w:tabs>
          <w:tab w:val="clear" w:pos="720"/>
          <w:tab w:val="left" w:pos="144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(iii)</w:t>
        <w:tab/>
        <w:t>the market value of Cash Equivalent Collateral, determined by the Exposed Party in good faith and in a commercially reasonable manner, previously delivered by the Non-Exposed Party and any Distributions and/or Interest Amount that have not yet been delivered to the Non-Exposed Party; and</w:t>
      </w:r>
    </w:p>
    <w:p>
      <w:pPr>
        <w:pStyle w:val="Normal"/>
        <w:widowControl/>
        <w:tabs>
          <w:tab w:val="clear" w:pos="720"/>
          <w:tab w:val="left" w:pos="144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(iv)</w:t>
        <w:tab/>
        <w:t>the remaining, undrawn portion of any outstanding Letter of Credit maintained by the Non-Exposed Party for the benefit of the Exposed Party.</w:t>
      </w:r>
    </w:p>
    <w:p>
      <w:pPr>
        <w:pStyle w:val="Normal"/>
        <w:widowControl/>
        <w:tabs>
          <w:tab w:val="clear" w:pos="720"/>
          <w:tab w:val="left" w:pos="360" w:leader="none"/>
          <w:tab w:val="left" w:pos="2520" w:leader="none"/>
          <w:tab w:val="left" w:pos="3060" w:leader="none"/>
        </w:tabs>
        <w:spacing w:lineRule="exact" w:line="240" w:before="240" w:after="0"/>
        <w:jc w:val="both"/>
        <w:rPr/>
      </w:pPr>
      <w:r>
        <w:rPr>
          <w:rFonts w:cs="Times New Roman" w:ascii="Times New Roman" w:hAnsi="Times New Roman"/>
          <w:sz w:val="22"/>
        </w:rPr>
        <w:t xml:space="preserve">III.  </w:t>
      </w:r>
      <w:r>
        <w:rPr>
          <w:rFonts w:cs="Times New Roman" w:ascii="Times New Roman" w:hAnsi="Times New Roman"/>
          <w:sz w:val="22"/>
          <w:u w:val="single"/>
        </w:rPr>
        <w:t>Performance Assurance</w:t>
      </w:r>
      <w:r>
        <w:rPr>
          <w:rFonts w:cs="Times New Roman" w:ascii="Times New Roman" w:hAnsi="Times New Roman"/>
          <w:sz w:val="22"/>
        </w:rPr>
        <w:t>.  (a)  If, on any Business Day, a Non-Exposed Party’s Collateral Requirement shall exceed One Dollar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$___________.</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On any Business Day (but no more frequently than weekly with respect to Letters of Credit and daily with respect to Cash Collateral or Cash Equivalent Collateral),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  A permitted reduction in Performance Assurance may be effected by the Transfer of Collateral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widowControl/>
        <w:tabs>
          <w:tab w:val="clear" w:pos="720"/>
          <w:tab w:val="left" w:pos="360" w:leader="none"/>
        </w:tabs>
        <w:spacing w:lineRule="exact" w:line="240" w:before="240" w:after="0"/>
        <w:jc w:val="both"/>
        <w:rPr/>
      </w:pPr>
      <w:r>
        <w:rPr>
          <w:rFonts w:cs="Times New Roman" w:ascii="Times New Roman" w:hAnsi="Times New Roman"/>
          <w:sz w:val="22"/>
        </w:rPr>
        <w:t xml:space="preserve">IV.  </w:t>
      </w:r>
      <w:r>
        <w:rPr>
          <w:rFonts w:cs="Times New Roman" w:ascii="Times New Roman" w:hAnsi="Times New Roman"/>
          <w:sz w:val="22"/>
          <w:u w:val="single"/>
        </w:rPr>
        <w:t>Delivery</w:t>
      </w:r>
      <w:r>
        <w:rPr>
          <w:rFonts w:cs="Times New Roman" w:ascii="Times New Roman" w:hAnsi="Times New Roman"/>
          <w:sz w:val="22"/>
        </w:rPr>
        <w: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widowControl/>
        <w:tabs>
          <w:tab w:val="clear" w:pos="720"/>
          <w:tab w:val="left" w:pos="360" w:leader="none"/>
          <w:tab w:val="left" w:pos="2340" w:leader="none"/>
        </w:tabs>
        <w:spacing w:lineRule="exact" w:line="240" w:before="240" w:after="0"/>
        <w:jc w:val="both"/>
        <w:rPr/>
      </w:pPr>
      <w:r>
        <w:rPr>
          <w:rFonts w:cs="Times New Roman" w:ascii="Times New Roman" w:hAnsi="Times New Roman"/>
          <w:sz w:val="22"/>
        </w:rPr>
        <w:t xml:space="preserve">V.  </w:t>
      </w:r>
      <w:r>
        <w:rPr>
          <w:rFonts w:cs="Times New Roman" w:ascii="Times New Roman" w:hAnsi="Times New Roman"/>
          <w:sz w:val="22"/>
          <w:u w:val="single"/>
        </w:rPr>
        <w:t>Exposure Disputes</w:t>
      </w:r>
      <w:r>
        <w:rPr>
          <w:rFonts w:cs="Times New Roman" w:ascii="Times New Roman" w:hAnsi="Times New Roman"/>
          <w:sz w:val="22"/>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widowControl/>
        <w:spacing w:lineRule="exact" w:line="240" w:before="240" w:after="0"/>
        <w:ind w:firstLine="180" w:end="0"/>
        <w:jc w:val="both"/>
        <w:rPr>
          <w:rFonts w:ascii="Times New Roman" w:hAnsi="Times New Roman" w:cs="Times New Roman"/>
          <w:sz w:val="22"/>
        </w:rPr>
      </w:pPr>
      <w:r>
        <w:rPr>
          <w:rFonts w:cs="Times New Roman" w:ascii="Times New Roman" w:hAnsi="Times New Roman"/>
          <w:sz w:val="22"/>
        </w:rPr>
        <w: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recalculation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widowControl/>
        <w:spacing w:lineRule="exact" w:line="240" w:before="240" w:after="0"/>
        <w:jc w:val="both"/>
        <w:rPr/>
      </w:pPr>
      <w:r>
        <w:rPr>
          <w:rFonts w:cs="Times New Roman" w:ascii="Times New Roman" w:hAnsi="Times New Roman"/>
          <w:sz w:val="22"/>
        </w:rPr>
        <w:t xml:space="preserve">VI.  </w:t>
      </w:r>
      <w:r>
        <w:rPr>
          <w:rFonts w:cs="Times New Roman" w:ascii="Times New Roman" w:hAnsi="Times New Roman"/>
          <w:sz w:val="22"/>
          <w:u w:val="single"/>
        </w:rPr>
        <w:t>Letters of Credit</w:t>
      </w:r>
      <w:r>
        <w:rPr>
          <w:rFonts w:cs="Times New Roman" w:ascii="Times New Roman" w:hAnsi="Times New Roman"/>
          <w:sz w:val="22"/>
        </w:rPr>
        <w:t>.  Performance Assurance provided in the form of a Letter of Credit shall be subject to the following provisions.</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As one method of providing Performance Assurance, the Non-Exposed Party may increase the amount of an outstanding Letter of Credit or establish one or more additional Letters of Credit.</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 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widowControl/>
        <w:spacing w:lineRule="atLeast" w:line="240" w:before="240" w:after="0"/>
        <w:ind w:firstLine="720" w:end="0"/>
        <w:jc w:val="both"/>
        <w:rPr>
          <w:rFonts w:ascii="Times New Roman" w:hAnsi="Times New Roman" w:cs="Times New Roman"/>
          <w:sz w:val="22"/>
        </w:rPr>
      </w:pPr>
      <w:r>
        <w:rPr>
          <w:rFonts w:cs="Times New Roman" w:ascii="Times New Roman" w:hAnsi="Times New Roman"/>
          <w:sz w:val="22"/>
        </w:rPr>
        <w:t>(g)  Upon the occurrence of a Letter of Credit Default, the Non-Exposed Party agrees to deliver a substitute Letter of Credit to the Exposed Party on or before the second Business Day after written demand by the Exposed Party (or the fifth (5) Business Day if only clause (i) under the definition of Letter of Credit Default applies).</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(h)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widowControl/>
        <w:spacing w:lineRule="exact" w:line="240" w:before="240" w:after="0"/>
        <w:jc w:val="both"/>
        <w:rPr/>
      </w:pPr>
      <w:r>
        <w:rPr>
          <w:rFonts w:cs="Times New Roman" w:ascii="Times New Roman" w:hAnsi="Times New Roman"/>
          <w:sz w:val="22"/>
        </w:rPr>
        <w:t xml:space="preserve">VII.  </w:t>
      </w:r>
      <w:r>
        <w:rPr>
          <w:rFonts w:cs="Times New Roman" w:ascii="Times New Roman" w:hAnsi="Times New Roman"/>
          <w:sz w:val="22"/>
          <w:u w:val="single"/>
        </w:rPr>
        <w:t>Collateral</w:t>
      </w:r>
      <w:r>
        <w:rPr>
          <w:rFonts w:cs="Times New Roman" w:ascii="Times New Roman" w:hAnsi="Times New Roman"/>
          <w:sz w:val="22"/>
        </w:rPr>
        <w:t>.  Performance Assurance provided in the form of Collateral shall be subject to the following provisions.</w:t>
      </w:r>
    </w:p>
    <w:p>
      <w:pPr>
        <w:pStyle w:val="Normal"/>
        <w:widowControl/>
        <w:spacing w:lineRule="exact" w:line="240" w:before="240" w:after="0"/>
        <w:ind w:firstLine="720" w:end="0"/>
        <w:jc w:val="both"/>
        <w:rPr/>
      </w:pPr>
      <w:r>
        <w:rPr>
          <w:rFonts w:cs="Times New Roman" w:ascii="Times New Roman" w:hAnsi="Times New Roman"/>
          <w:sz w:val="22"/>
        </w:rPr>
        <w:t xml:space="preserve">(a)  </w:t>
      </w:r>
      <w:r>
        <w:rPr>
          <w:rFonts w:cs="Times New Roman" w:ascii="Times New Roman" w:hAnsi="Times New Roman"/>
          <w:sz w:val="22"/>
          <w:u w:val="single"/>
        </w:rPr>
        <w:t>Eligibility to Hold Collateral</w:t>
      </w:r>
      <w:r>
        <w:rPr>
          <w:rFonts w:cs="Times New Roman" w:ascii="Times New Roman" w:hAnsi="Times New Roman"/>
          <w:sz w:val="22"/>
        </w:rPr>
        <w:t>.  The Exposed Party will be entitled to hold Collateral or to appoint an agent (a “Custodian”) to hold Collateral for the Exposed Party provided that the following conditions applicable to it are satisfied: (i) the Exposed Party is not a Defaulting Party, (ii) if ECT is the Exposed Party, [Enron Corp.] [its Credit Support Provider] has a Credit Rating and the lowest Credit Rating for [Enron Corp.] [its Credit Support Provider] is “BBB-” or higher by S&amp;P or “Baa3” or higher by Moody’s and if Counterparty is the Exposed Party, [[it] [its Credit Support Provider] has a Credit Rating and the lowest Credit Rating for [it] [its Credit Support Provider] is “___” or higher by S&amp;P and “___” or higher by Moody’s] [no Material Adverse Change has occurred with respect to such party], and (iii) Collateral is held only in any jurisdiction within the United States.  Upon notice by the Exposed Party to the Non-Exposed Party of the appointment of a Custodian, the Non-Exposed Party’s obligations to make any Transfer will be discharged by making the Transfer to that Custodian.  The holding of Collateral by a Custodian will be deemed to be the holding of Collateral by the Exposed Party for which the Custodian is acting.  If the Exposed Party fails to satisfy any conditions for holding Collateral as set forth above, then the Exposed Party will Transfer or cause the Custodian to Transfer the Collateral to a Qualified Institution (as defined herein) and the Collateral shall be maintained in accordance with the Sections VII(b) and (c), with the party not eligible to hold Collateral being considered the “Downgraded Party” (as defined in Section VII(b)).  The Exposed Party will be liable for the acts or omissions of its Custodian to the same extent that the Exposed Party would be liable hereunder for its own acts or omissions.</w:t>
      </w:r>
    </w:p>
    <w:p>
      <w:pPr>
        <w:pStyle w:val="Normal"/>
        <w:widowControl/>
        <w:spacing w:lineRule="exact" w:line="240" w:before="240" w:after="0"/>
        <w:ind w:firstLine="720" w:end="0"/>
        <w:jc w:val="both"/>
        <w:rPr/>
      </w:pPr>
      <w:r>
        <w:rPr>
          <w:rFonts w:cs="Times New Roman" w:ascii="Times New Roman" w:hAnsi="Times New Roman"/>
          <w:sz w:val="22"/>
        </w:rPr>
        <w:t xml:space="preserve">(b)  </w:t>
      </w:r>
      <w:r>
        <w:rPr>
          <w:rFonts w:cs="Times New Roman" w:ascii="Times New Roman" w:hAnsi="Times New Roman"/>
          <w:sz w:val="22"/>
          <w:u w:val="single"/>
        </w:rPr>
        <w:t>Use of Collateral</w:t>
      </w:r>
      <w:r>
        <w:rPr>
          <w:rFonts w:cs="Times New Roman" w:ascii="Times New Roman" w:hAnsi="Times New Roman"/>
          <w:sz w:val="22"/>
        </w:rPr>
        <w:t xml:space="preserve">.  Notwithstanding the provisions of applicable law, if the Exposed Party is not a Defaulting Party or an Affected Party and no Early Termination Date has occurred or been designated as a result of an Event of Default or a Termination Event with respect to the Exposed Party, then the Exposed Party shall have the right to (i) sell, pledge, rehypothecate, assign, invest, use, commingle or otherwise dispose of, or otherwise use in its business any Collateral it holds, free from any claim or right of any nature whatsoever of the Non-Exposed Party, including any equity or right of redemption by the Non-Exposed Party, and (ii) register any Collateral in the name of the Exposed Party, its Custodian or a nominee for either; </w:t>
      </w:r>
      <w:r>
        <w:rPr>
          <w:rFonts w:cs="Times New Roman" w:ascii="Times New Roman" w:hAnsi="Times New Roman"/>
          <w:sz w:val="22"/>
          <w:u w:val="single"/>
        </w:rPr>
        <w:t>provided, however</w:t>
      </w:r>
      <w:r>
        <w:rPr>
          <w:rFonts w:cs="Times New Roman" w:ascii="Times New Roman" w:hAnsi="Times New Roman"/>
          <w:sz w:val="22"/>
        </w:rPr>
        <w:t>, that  if a party is not eligible to hold Collateral pursuant to Section VII(a) (in such event, such party shall be the “Downgraded Party” and the event that caused it to be ineligible to hold Collateral shall be a “Credit Rating Event”) then:</w:t>
      </w:r>
    </w:p>
    <w:p>
      <w:pPr>
        <w:pStyle w:val="Normal"/>
        <w:widowControl/>
        <w:tabs>
          <w:tab w:val="left" w:pos="72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(1)  the provisions of this Section VII(b) will not apply with respect to the Downgraded Party; and</w:t>
      </w:r>
    </w:p>
    <w:p>
      <w:pPr>
        <w:pStyle w:val="Normal"/>
        <w:widowControl/>
        <w:tabs>
          <w:tab w:val="left" w:pos="72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(2)  the Downgraded Party shall be required to deliver (or cause to be delivered) not later than the close of business on the second Business Day following such Credit Rating Event all Collateral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Collateral for the Downgraded Party.  The Qualified Institution shall serve as Custodian with respect to the Collateral in the Collateral Account, and shall hold such Collateral in accordance with the terms of this Annex and for the security interest of the Downgraded Party and, subject to such security interest, for the ownership of the non-Downgraded Party.</w:t>
      </w:r>
    </w:p>
    <w:p>
      <w:pPr>
        <w:pStyle w:val="Normal"/>
        <w:widowControl/>
        <w:spacing w:lineRule="exact" w:line="240" w:before="240" w:after="0"/>
        <w:ind w:firstLine="720" w:end="0"/>
        <w:jc w:val="both"/>
        <w:rPr/>
      </w:pPr>
      <w:r>
        <w:rPr>
          <w:rFonts w:cs="Times New Roman" w:ascii="Times New Roman" w:hAnsi="Times New Roman"/>
          <w:sz w:val="22"/>
        </w:rPr>
        <w:t xml:space="preserve">(c)  </w:t>
      </w:r>
      <w:r>
        <w:rPr>
          <w:rFonts w:cs="Times New Roman" w:ascii="Times New Roman" w:hAnsi="Times New Roman"/>
          <w:sz w:val="22"/>
          <w:u w:val="single"/>
        </w:rPr>
        <w:t>Distributions and Interest Payments on Collateral</w:t>
      </w:r>
      <w:r>
        <w:rPr>
          <w:rFonts w:cs="Times New Roman" w:ascii="Times New Roman" w:hAnsi="Times New Roman"/>
          <w:sz w:val="22"/>
        </w:rPr>
        <w:t>.  (i) Subject to the provisions of Section VII(c)(ii) below and so long as no Event of Default, Potential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(1) Transfer to the Non-Exposed Party, in lieu of any interest, dividends or other amounts paid or deemed to have been paid with respect to the Cash Collateral (all of which may be retained by the Exposed Party), the Interest Amount (as defined below) on the last Business Day of each calendar month and (2) if the Exposed Party receives or is deemed to receive Distributions (as defined below) with respect to Cash Equivalent Collateral, Transfer to the Non-Exposed Party not later than the following Business Day such Distributions it receives or is deemed to receive.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or Distributions as additional Collateral hereunder until the obligations of the Non-Exposed Party under the Agreement have been satisfied.</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The term “Interest Amount” shall mean with respect to an “Interest Period” (as defined herein), the aggregate sum of the amounts of interest calculated for each day in that Interest Period on the principal amount of Cash Collateral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Collateral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The term “Distributions” shall mean with respect to Collateral other than Cash, all principal, interest and other payments and distributions of cash or other property, with respect thereto, regardless of whether the Exposed Party has disposed of that Collateral under Section VII(b).  Distributions will not include any item of property acquired by the Exposed Party upon any disposition or liquidation of Collateral or, with respect to any Collateral in the form of Cash, any distributions on that collateral, unless otherwise specified herein.</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 If in accordance with the provisions of Section VII(b), a party is not permitted to use Collateral as a result of a Credit Rating Event, the provisions of Section VII(c)(i) will not apply with respect to Collateral; Collateral consisting of other than Cash, including all Distributions with respect thereto, shall be maintained in the Collateral Account by the Qualified Institution pursuant to Section VII(b); and the investment of Cash Collateral shall be governed as follows:</w:t>
      </w:r>
    </w:p>
    <w:p>
      <w:pPr>
        <w:pStyle w:val="Normal"/>
        <w:widowControl/>
        <w:spacing w:lineRule="exact" w:line="240" w:before="240" w:after="0"/>
        <w:ind w:firstLine="360" w:start="360" w:end="0"/>
        <w:jc w:val="both"/>
        <w:rPr>
          <w:rFonts w:ascii="Times New Roman" w:hAnsi="Times New Roman" w:cs="Times New Roman"/>
          <w:sz w:val="22"/>
        </w:rPr>
      </w:pPr>
      <w:r>
        <w:rPr>
          <w:rFonts w:cs="Times New Roman" w:ascii="Times New Roman" w:hAnsi="Times New Roman"/>
          <w:sz w:val="22"/>
        </w:rPr>
        <w:t>The Qualified Institution holding the Collateral will invest and reinvest or procure the investment and reinvestment of the Collateral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Termination Event with respect to the Non-Exposed Party shall have occurred and be continuing.  The Secured Party shall have no responsibility for any losses resulting from any investment or reinvestment effected in accordance with the Non-Exposed Party's instructions.</w:t>
      </w:r>
    </w:p>
    <w:p>
      <w:pPr>
        <w:pStyle w:val="Normal"/>
        <w:widowControl/>
        <w:spacing w:lineRule="exact" w:line="240" w:before="240" w:after="0"/>
        <w:ind w:firstLine="720" w:end="0"/>
        <w:jc w:val="both"/>
        <w:rPr/>
      </w:pPr>
      <w:r>
        <w:rPr>
          <w:rFonts w:cs="Times New Roman" w:ascii="Times New Roman" w:hAnsi="Times New Roman"/>
          <w:sz w:val="22"/>
        </w:rPr>
        <w:t xml:space="preserve">(d)  </w:t>
      </w:r>
      <w:r>
        <w:rPr>
          <w:rFonts w:cs="Times New Roman" w:ascii="Times New Roman" w:hAnsi="Times New Roman"/>
          <w:sz w:val="22"/>
          <w:u w:val="single"/>
        </w:rPr>
        <w:t>Care of Posted Collateral</w:t>
      </w:r>
      <w:r>
        <w:rPr>
          <w:rFonts w:cs="Times New Roman" w:ascii="Times New Roman" w:hAnsi="Times New Roman"/>
          <w:sz w:val="22"/>
        </w:rPr>
        <w:t>.  Without limiting the Exposed Party’s rights under Paragraph VII(b), the Exposed Party will exercise reasonable care to assure the safe custody of all Collateral to the extent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Collateral, including, without limitation, any duty to collect any Distributions, or enforce or preserve any rights pertaining thereto.</w:t>
      </w:r>
    </w:p>
    <w:p>
      <w:pPr>
        <w:pStyle w:val="Normal"/>
        <w:widowControl/>
        <w:spacing w:lineRule="exact" w:line="240" w:before="240" w:after="0"/>
        <w:jc w:val="both"/>
        <w:rPr/>
      </w:pPr>
      <w:r>
        <w:rPr>
          <w:rFonts w:cs="Times New Roman" w:ascii="Times New Roman" w:hAnsi="Times New Roman"/>
          <w:sz w:val="22"/>
        </w:rPr>
        <w:t xml:space="preserve">VIII.  </w:t>
      </w:r>
      <w:r>
        <w:rPr>
          <w:rFonts w:cs="Times New Roman" w:ascii="Times New Roman" w:hAnsi="Times New Roman"/>
          <w:sz w:val="22"/>
          <w:u w:val="single"/>
        </w:rPr>
        <w:t>Additional Representations</w:t>
      </w:r>
      <w:r>
        <w:rPr>
          <w:rFonts w:cs="Times New Roman" w:ascii="Times New Roman" w:hAnsi="Times New Roman"/>
          <w:sz w:val="22"/>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and has taken all necessary actions to authorize the granting of that security interest and lien;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(d) the performance by it of its obligations under this Annex will not result in the creation of any security interest, lien or other encumbrance on any Collateral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widowControl/>
        <w:spacing w:lineRule="exact" w:line="240" w:before="240" w:after="0"/>
        <w:jc w:val="both"/>
        <w:rPr/>
      </w:pPr>
      <w:r>
        <w:rPr>
          <w:rFonts w:cs="Times New Roman" w:ascii="Times New Roman" w:hAnsi="Times New Roman"/>
          <w:sz w:val="22"/>
        </w:rPr>
        <w:t xml:space="preserve">IX.  </w:t>
      </w:r>
      <w:r>
        <w:rPr>
          <w:rFonts w:cs="Times New Roman" w:ascii="Times New Roman" w:hAnsi="Times New Roman"/>
          <w:sz w:val="22"/>
          <w:u w:val="single"/>
        </w:rPr>
        <w:t>Certain Rights and Remedies</w:t>
      </w:r>
      <w:r>
        <w:rPr>
          <w:rFonts w:cs="Times New Roman" w:ascii="Times New Roman" w:hAnsi="Times New Roman"/>
          <w:sz w:val="22"/>
        </w:rPr>
        <w:t>.</w:t>
      </w:r>
    </w:p>
    <w:p>
      <w:pPr>
        <w:pStyle w:val="Normal"/>
        <w:widowControl/>
        <w:spacing w:lineRule="exact" w:line="240" w:before="240" w:after="0"/>
        <w:ind w:firstLine="720" w:end="0"/>
        <w:jc w:val="both"/>
        <w:rPr/>
      </w:pPr>
      <w:r>
        <w:rPr>
          <w:rFonts w:cs="Times New Roman" w:ascii="Times New Roman" w:hAnsi="Times New Roman"/>
          <w:sz w:val="22"/>
        </w:rPr>
        <w:t xml:space="preserve">(a)  </w:t>
      </w:r>
      <w:r>
        <w:rPr>
          <w:rFonts w:cs="Times New Roman" w:ascii="Times New Roman" w:hAnsi="Times New Roman"/>
          <w:sz w:val="22"/>
          <w:u w:val="single"/>
        </w:rPr>
        <w:t>Exposed Party’s Rights and Remedies</w:t>
      </w:r>
      <w:r>
        <w:rPr>
          <w:rFonts w:cs="Times New Roman" w:ascii="Times New Roman" w:hAnsi="Times New Roman"/>
          <w:sz w:val="22"/>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unless the Non-Exposed Party has made all payments due and owing to the Exposed Party in accordance with the terms of the Agreement (including any related grace or notice period or both):</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(1)  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and</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(2)  the liquidation of Cash Equivalent Collateral shall be accomplished by a public or private sale conducted by the Exposed Party in a commercially reasonable manner.</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unless otherwise required by applicable law.  The Exposed Party may be the purchaser of any or all of the Cash Equivalent Collateral to be sold.</w:t>
      </w:r>
    </w:p>
    <w:p>
      <w:pPr>
        <w:pStyle w:val="Normal"/>
        <w:widowControl/>
        <w:spacing w:lineRule="exact" w:line="240" w:before="240" w:after="0"/>
        <w:ind w:firstLine="720" w:end="0"/>
        <w:jc w:val="both"/>
        <w:rPr/>
      </w:pPr>
      <w:r>
        <w:rPr>
          <w:rFonts w:cs="Times New Roman" w:ascii="Times New Roman" w:hAnsi="Times New Roman"/>
          <w:sz w:val="22"/>
        </w:rPr>
        <w:t xml:space="preserve">(b)  </w:t>
      </w:r>
      <w:r>
        <w:rPr>
          <w:rFonts w:cs="Times New Roman" w:ascii="Times New Roman" w:hAnsi="Times New Roman"/>
          <w:sz w:val="22"/>
          <w:u w:val="single"/>
        </w:rPr>
        <w:t>Non-Exposed Party’s Rights and Remedies</w:t>
      </w:r>
      <w:r>
        <w:rPr>
          <w:rFonts w:cs="Times New Roman" w:ascii="Times New Roman" w:hAnsi="Times New Roman"/>
          <w:sz w:val="22"/>
        </w:rPr>
        <w:t>.  If at any time an Early Termination Date has occurred or been designated as the result of an Event of Default or Termination Event with respect to the Exposed Party, then, unless the Early Termination Date relates to less than all Transactions where the Exposed Party has made all payments due and owing to the Non-Exposed Party:</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(1)  the Exposed Party will be obligated immediately to Transfer all Collateral and the Interest Amount, if any, to the Non-Exposed Party; and</w:t>
      </w:r>
    </w:p>
    <w:p>
      <w:pPr>
        <w:pStyle w:val="Normal"/>
        <w:widowContro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(2)  the Non-Exposed Party may do any one or more of the following:  (x) exercise any of the rights and remedies of a pledgor with respect to the Collateral, including any such rights and remedies under law then in effect; (y) to the extent that the Collateral or the Interest Amount is not Transferred to the Non-Exposed Party as required in (1) above, setoff amounts payable to the Exposed Party against Collateral held by the Exposed Party or to the extent its rights to setoff are not exercised, withhold payment of any remaining amounts payable by the Non-Exposed Party, up to the value of any remaining Collateral held by the Exposed Party, until the Collateral is Transferred to the Non-Exposed Party; and (z) exercise rights and remedies available to the Non-Exposed Party under the terms of the Letter of Credit.</w:t>
      </w:r>
    </w:p>
    <w:p>
      <w:pPr>
        <w:pStyle w:val="Normal"/>
        <w:widowControl/>
        <w:spacing w:lineRule="exact" w:line="240" w:before="240" w:after="0"/>
        <w:jc w:val="both"/>
        <w:rPr/>
      </w:pPr>
      <w:r>
        <w:rPr>
          <w:rFonts w:cs="Times New Roman" w:ascii="Times New Roman" w:hAnsi="Times New Roman"/>
          <w:sz w:val="22"/>
        </w:rPr>
        <w:t xml:space="preserve">X.  </w:t>
      </w:r>
      <w:r>
        <w:rPr>
          <w:rFonts w:cs="Times New Roman" w:ascii="Times New Roman" w:hAnsi="Times New Roman"/>
          <w:sz w:val="22"/>
          <w:u w:val="single"/>
        </w:rPr>
        <w:t>General</w:t>
      </w:r>
      <w:r>
        <w:rPr>
          <w:rFonts w:cs="Times New Roman" w:ascii="Times New Roman" w:hAnsi="Times New Roman"/>
          <w:sz w:val="22"/>
        </w:rPr>
        <w:t>.</w:t>
      </w:r>
    </w:p>
    <w:p>
      <w:pPr>
        <w:pStyle w:val="Normal"/>
        <w:widowControl/>
        <w:spacing w:lineRule="exact" w:line="240" w:before="240" w:after="0"/>
        <w:ind w:firstLine="720" w:end="0"/>
        <w:jc w:val="both"/>
        <w:rPr/>
      </w:pPr>
      <w:r>
        <w:rPr>
          <w:rFonts w:cs="Times New Roman" w:ascii="Times New Roman" w:hAnsi="Times New Roman"/>
          <w:sz w:val="22"/>
        </w:rPr>
        <w:t xml:space="preserve">(a)  </w:t>
      </w:r>
      <w:r>
        <w:rPr>
          <w:rFonts w:cs="Times New Roman" w:ascii="Times New Roman" w:hAnsi="Times New Roman"/>
          <w:sz w:val="22"/>
          <w:u w:val="single"/>
        </w:rPr>
        <w:t>Security Interest</w:t>
      </w:r>
      <w:r>
        <w:rPr>
          <w:rFonts w:cs="Times New Roman" w:ascii="Times New Roman" w:hAnsi="Times New Roman"/>
          <w:sz w:val="22"/>
        </w:rPr>
        <w:t>.  To secure its obligations under the Agreement and all outstanding Transactions, each party hereby grants to the other party a present and continuing first-priority security interest in, and lien on (and right of setoff against), all collateral and any and all proceeds, to the extent not otherwise Transferred to the other party, resulting from such Collateral or the liquidation thereof,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Collateral and any and all proceeds resulting from such Collateral or the liquidation thereof.</w:t>
      </w:r>
    </w:p>
    <w:p>
      <w:pPr>
        <w:pStyle w:val="Normal"/>
        <w:widowControl/>
        <w:spacing w:lineRule="exact" w:line="240" w:before="240" w:after="0"/>
        <w:ind w:firstLine="810" w:end="0"/>
        <w:jc w:val="both"/>
        <w:rPr/>
      </w:pPr>
      <w:r>
        <w:rPr>
          <w:rFonts w:cs="Times New Roman" w:ascii="Times New Roman" w:hAnsi="Times New Roman"/>
          <w:sz w:val="22"/>
        </w:rPr>
        <w:t xml:space="preserve">(b)  </w:t>
      </w:r>
      <w:r>
        <w:rPr>
          <w:rFonts w:cs="Times New Roman" w:ascii="Times New Roman" w:hAnsi="Times New Roman"/>
          <w:sz w:val="22"/>
          <w:u w:val="single"/>
        </w:rPr>
        <w:t>Substitutions</w:t>
      </w:r>
      <w:r>
        <w:rPr>
          <w:rFonts w:cs="Times New Roman" w:ascii="Times New Roman" w:hAnsi="Times New Roman"/>
          <w:sz w:val="22"/>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widowControl/>
        <w:spacing w:lineRule="exact" w:line="240" w:before="240" w:after="0"/>
        <w:ind w:firstLine="720" w:end="0"/>
        <w:jc w:val="both"/>
        <w:rPr/>
      </w:pPr>
      <w:r>
        <w:rPr>
          <w:rFonts w:cs="Times New Roman" w:ascii="Times New Roman" w:hAnsi="Times New Roman"/>
          <w:sz w:val="22"/>
        </w:rPr>
        <w:t xml:space="preserve">(ii)  Provided that no Event of Default or Potential Event of Default or Termination Event has occurred and is continuing with respect to the Non-Exposed Party and that no Early Termination Date has occurred or been designated as the result of an Event of Default or Termination Event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Times New Roman" w:ascii="Times New Roman" w:hAnsi="Times New Roman"/>
          <w:sz w:val="22"/>
          <w:u w:val="single"/>
        </w:rPr>
        <w:t>provided</w:t>
      </w:r>
      <w:r>
        <w:rPr>
          <w:rFonts w:cs="Times New Roman" w:ascii="Times New Roman" w:hAnsi="Times New Roman"/>
          <w:sz w:val="22"/>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widowControl/>
        <w:spacing w:lineRule="exact" w:line="240" w:before="240" w:after="0"/>
        <w:ind w:firstLine="720" w:end="0"/>
        <w:jc w:val="both"/>
        <w:rPr/>
      </w:pPr>
      <w:r>
        <w:rPr>
          <w:rFonts w:cs="Times New Roman" w:ascii="Times New Roman" w:hAnsi="Times New Roman"/>
          <w:sz w:val="22"/>
        </w:rPr>
        <w:t xml:space="preserve">(c)  </w:t>
      </w:r>
      <w:r>
        <w:rPr>
          <w:rFonts w:cs="Times New Roman" w:ascii="Times New Roman" w:hAnsi="Times New Roman"/>
          <w:sz w:val="22"/>
          <w:u w:val="single"/>
        </w:rPr>
        <w:t>Expenses</w:t>
      </w:r>
      <w:r>
        <w:rPr>
          <w:rFonts w:cs="Times New Roman" w:ascii="Times New Roman" w:hAnsi="Times New Roman"/>
          <w:sz w:val="22"/>
        </w:rPr>
        <w:t>.  (i) Except as expressly set forth in this Annex or the Agreement, each party will pay its own costs and expenses in connection with performing its obligations under this Annex and neither party will be liable for any costs or expenses incurred by the other party in connection herewith.</w:t>
      </w:r>
    </w:p>
    <w:p>
      <w:pPr>
        <w:pStyle w:val="Normal"/>
        <w:widowControl/>
        <w:spacing w:lineRule="exact" w:line="240" w:before="240" w:after="0"/>
        <w:ind w:start="720" w:end="0"/>
        <w:jc w:val="both"/>
        <w:rPr/>
      </w:pPr>
      <w:r>
        <w:rPr>
          <w:rFonts w:cs="Times New Roman" w:ascii="Times New Roman" w:hAnsi="Times New Roman"/>
          <w:sz w:val="22"/>
        </w:rPr>
        <w:t xml:space="preserve">(ii)  </w:t>
      </w:r>
      <w:r>
        <w:rPr>
          <w:rFonts w:cs="Times New Roman" w:ascii="Times New Roman" w:hAnsi="Times New Roman"/>
          <w:sz w:val="22"/>
          <w:u w:val="single"/>
        </w:rPr>
        <w:t>Posted Credit Support</w:t>
      </w:r>
      <w:r>
        <w:rPr>
          <w:rFonts w:cs="Times New Roman" w:ascii="Times New Roman" w:hAnsi="Times New Roman"/>
          <w:sz w:val="22"/>
        </w:rPr>
        <w:t>.  The Non-Exposed Party will promptly pay when due all taxes, assessments or charges of any nature that are imposed with respect to Collateral held by the Exposed Party upon becoming aware of the same, regardless of whether any portion of that Collateral is subsequently disposed of under Section VII(c), except for those taxes, assessments and charges that result from the exercise of the Exposed Party's rights under Section VII.</w:t>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spacing w:lineRule="exact" w:line="240" w:before="240" w:after="0"/>
        <w:ind w:start="720" w:end="0"/>
        <w:jc w:val="both"/>
        <w:rPr/>
      </w:pPr>
      <w:r>
        <w:rPr>
          <w:rFonts w:cs="Times New Roman" w:ascii="Times New Roman" w:hAnsi="Times New Roman"/>
          <w:sz w:val="22"/>
        </w:rPr>
        <w:t xml:space="preserve">(iii)  </w:t>
      </w:r>
      <w:r>
        <w:rPr>
          <w:rFonts w:cs="Times New Roman" w:ascii="Times New Roman" w:hAnsi="Times New Roman"/>
          <w:sz w:val="22"/>
          <w:u w:val="single"/>
        </w:rPr>
        <w:t>Liquidation/Application of Posted Credit Support</w:t>
      </w:r>
      <w:r>
        <w:rPr>
          <w:rFonts w:cs="Times New Roman" w:ascii="Times New Roman" w:hAnsi="Times New Roman"/>
          <w:sz w:val="22"/>
        </w:rPr>
        <w:t>.  All reasonable costs and expenses incurred by or on behalf of the Exposed Party or the Non-Exposed Party in connection with the liquidation and/or application of any Performance Assurance under Section IX will be payable, on demand and pursuant to this Agreement, by the Defaulting Party or, if there is no Defaulting Party, equally by the parties.</w:t>
      </w:r>
    </w:p>
    <w:p>
      <w:pPr>
        <w:sectPr>
          <w:headerReference w:type="default" r:id="rId14"/>
          <w:headerReference w:type="first" r:id="rId15"/>
          <w:footerReference w:type="default" r:id="rId16"/>
          <w:footerReference w:type="first" r:id="rId17"/>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tab/>
        <w:t>or</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sectPr>
          <w:headerReference w:type="default" r:id="rId18"/>
          <w:headerReference w:type="first" r:id="rId19"/>
          <w:footerReference w:type="default" r:id="rId20"/>
          <w:footerReference w:type="first" r:id="rId21"/>
          <w:footnotePr>
            <w:numFmt w:val="decimal"/>
          </w:footnotePr>
          <w:type w:val="nextPage"/>
          <w:pgSz w:w="12240" w:h="15840"/>
          <w:pgMar w:left="1008" w:right="1008" w:gutter="0" w:header="576" w:top="720" w:footer="576" w:bottom="720"/>
          <w:pgNumType w:fmt="decimal"/>
          <w:formProt w:val="false"/>
          <w:textDirection w:val="lrTb"/>
          <w:docGrid w:type="default" w:linePitch="360" w:charSpace="0"/>
        </w:sectPr>
        <w:pStyle w:val="Normal"/>
        <w:widowControl/>
        <w:jc w:val="both"/>
        <w:rPr>
          <w:rFonts w:ascii="Times New Roman" w:hAnsi="Times New Roman" w:cs="Times New Roman"/>
          <w:b/>
          <w:sz w:val="22"/>
          <w:u w:val="single"/>
        </w:rPr>
      </w:pPr>
      <w:r>
        <w:rPr>
          <w:rFonts w:cs="Times New Roman" w:ascii="Times New Roman" w:hAnsi="Times New Roman"/>
          <w:b/>
          <w:sz w:val="22"/>
          <w:u w:val="single"/>
        </w:rPr>
      </w:r>
    </w:p>
    <w:p>
      <w:pPr>
        <w:pStyle w:val="Normal"/>
        <w:widowControl/>
        <w:ind w:end="180"/>
        <w:jc w:val="center"/>
        <w:rPr>
          <w:rFonts w:ascii="Times New Roman" w:hAnsi="Times New Roman" w:cs="Times New Roman"/>
          <w:b/>
          <w:sz w:val="22"/>
        </w:rPr>
      </w:pPr>
      <w:r>
        <w:rPr>
          <w:rFonts w:cs="Times New Roman" w:ascii="Times New Roman" w:hAnsi="Times New Roman"/>
          <w:b/>
          <w:sz w:val="22"/>
          <w:u w:val="single"/>
        </w:rPr>
        <w:t>EXHIBIT A</w:t>
      </w:r>
    </w:p>
    <w:p>
      <w:pPr>
        <w:pStyle w:val="Normal"/>
        <w:widowControl/>
        <w:ind w:end="180"/>
        <w:jc w:val="center"/>
        <w:rPr>
          <w:rFonts w:ascii="Times New Roman" w:hAnsi="Times New Roman" w:cs="Times New Roman"/>
          <w:b/>
          <w:sz w:val="22"/>
        </w:rPr>
      </w:pPr>
      <w:r>
        <w:rPr>
          <w:rFonts w:cs="Times New Roman" w:ascii="Times New Roman" w:hAnsi="Times New Roman"/>
          <w:b/>
          <w:sz w:val="22"/>
        </w:rPr>
      </w:r>
    </w:p>
    <w:p>
      <w:pPr>
        <w:pStyle w:val="Normal"/>
        <w:widowControl/>
        <w:ind w:end="180"/>
        <w:jc w:val="center"/>
        <w:rPr>
          <w:rFonts w:ascii="Times New Roman" w:hAnsi="Times New Roman" w:cs="Times New Roman"/>
          <w:b/>
          <w:sz w:val="22"/>
        </w:rPr>
      </w:pPr>
      <w:r>
        <w:rPr>
          <w:rFonts w:cs="Times New Roman" w:ascii="Times New Roman" w:hAnsi="Times New Roman"/>
          <w:b/>
          <w:sz w:val="22"/>
        </w:rPr>
        <w:t>ENRON CORP.</w:t>
      </w:r>
    </w:p>
    <w:p>
      <w:pPr>
        <w:pStyle w:val="Normal"/>
        <w:widowContro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widowContro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widowControl/>
        <w:spacing w:lineRule="exact" w:line="48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r>
      <w:r>
        <w:rPr>
          <w:rFonts w:cs="Times New Roman" w:ascii="Times New Roman" w:hAnsi="Times New Roman"/>
          <w:sz w:val="22"/>
        </w:rPr>
        <w:t xml:space="preserve">, 199__,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widowControl/>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widowContro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widowContro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sz w:val="22"/>
          <w:u w:val="single"/>
        </w:rPr>
        <w:tab/>
        <w:tab/>
      </w:r>
      <w:r>
        <w:rPr>
          <w:rFonts w:cs="Times New Roman" w:ascii="Times New Roman" w:hAnsi="Times New Roman"/>
          <w:sz w:val="22"/>
        </w:rPr>
        <w:t xml:space="preserve">, a </w:t>
      </w:r>
      <w:r>
        <w:rPr>
          <w:rFonts w:cs="Times New Roman" w:ascii="Times New Roman" w:hAnsi="Times New Roman"/>
          <w:sz w:val="22"/>
          <w:u w:val="single"/>
        </w:rPr>
        <w:tab/>
        <w:tab/>
        <w:tab/>
      </w:r>
      <w:r>
        <w:rPr>
          <w:rFonts w:cs="Times New Roman" w:ascii="Times New Roman" w:hAnsi="Times New Roman"/>
          <w:sz w:val="22"/>
        </w:rPr>
        <w:t xml:space="preserve"> corporation (“Counterparty”) and ENRON CAPITAL &amp; TRADE RESOURCES CORP. (“ECT”), a wholly owned direct subsidiary of Guarantor,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 and </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and Counterparty;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ECT (the “Obligations”) to Counterparty under the Contract,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widowControl/>
        <w:spacing w:lineRule="exact" w:line="240" w:before="240" w:after="0"/>
        <w:ind w:start="720" w:end="0"/>
        <w:jc w:val="both"/>
        <w:rPr/>
      </w:pPr>
      <w:r>
        <w:rPr>
          <w:rFonts w:cs="Times New Roman" w:ascii="Times New Roman" w:hAnsi="Times New Roman"/>
          <w:sz w:val="22"/>
        </w:rPr>
        <w:t>(b)  The aggregate amount covered by this Guaranty shall not exceed U.S. $</w:t>
      </w:r>
      <w:r>
        <w:rPr>
          <w:rFonts w:cs="Times New Roman" w:ascii="Times New Roman" w:hAnsi="Times New Roman"/>
          <w:sz w:val="22"/>
          <w:u w:val="single"/>
        </w:rPr>
        <w:t>________</w:t>
      </w:r>
      <w:r>
        <w:rPr>
          <w:rFonts w:cs="Times New Roman" w:ascii="Times New Roman" w:hAnsi="Times New Roman"/>
          <w:sz w:val="22"/>
        </w:rPr>
        <w:t>.</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widowContro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t>To Counterparty:</w:t>
        <w:tab/>
      </w:r>
      <w:r>
        <w:rPr>
          <w:rFonts w:cs="Times New Roman" w:ascii="Times New Roman" w:hAnsi="Times New Roman"/>
          <w:sz w:val="22"/>
          <w:u w:val="single"/>
        </w:rPr>
        <w:tab/>
      </w:r>
    </w:p>
    <w:p>
      <w:pPr>
        <w:pStyle w:val="Normal"/>
        <w:widowContro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widowContro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widowContro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widowContro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 xml:space="preserve">Attn:  </w:t>
      </w:r>
      <w:r>
        <w:rPr>
          <w:rFonts w:cs="Times New Roman" w:ascii="Times New Roman" w:hAnsi="Times New Roman"/>
          <w:sz w:val="22"/>
          <w:u w:val="single"/>
        </w:rPr>
        <w:tab/>
      </w:r>
    </w:p>
    <w:p>
      <w:pPr>
        <w:pStyle w:val="Normal"/>
        <w:widowContro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 xml:space="preserve">Fax No.:  </w:t>
      </w:r>
      <w:r>
        <w:rPr>
          <w:rFonts w:cs="Times New Roman" w:ascii="Times New Roman" w:hAnsi="Times New Roman"/>
          <w:sz w:val="22"/>
          <w:u w:val="single"/>
        </w:rPr>
        <w:tab/>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28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To Guarantor:</w:t>
        <w:tab/>
        <w:t>Enron Corp.</w:t>
      </w:r>
    </w:p>
    <w:p>
      <w:pPr>
        <w:pStyle w:val="Normal"/>
        <w:widowControl/>
        <w:spacing w:lineRule="exact" w:line="240"/>
        <w:ind w:start="2880" w:end="0"/>
        <w:jc w:val="both"/>
        <w:rPr>
          <w:rFonts w:ascii="Times New Roman" w:hAnsi="Times New Roman" w:cs="Times New Roman"/>
          <w:sz w:val="22"/>
        </w:rPr>
      </w:pPr>
      <w:r>
        <w:rPr>
          <w:rFonts w:cs="Times New Roman" w:ascii="Times New Roman" w:hAnsi="Times New Roman"/>
          <w:sz w:val="22"/>
        </w:rPr>
        <w:t>1400 Smith Street</w:t>
      </w:r>
    </w:p>
    <w:p>
      <w:pPr>
        <w:pStyle w:val="Normal"/>
        <w:widowControl/>
        <w:spacing w:lineRule="exact" w:line="240"/>
        <w:ind w:start="2880" w:end="0"/>
        <w:jc w:val="both"/>
        <w:rPr>
          <w:rFonts w:ascii="Times New Roman" w:hAnsi="Times New Roman" w:cs="Times New Roman"/>
          <w:sz w:val="22"/>
        </w:rPr>
      </w:pPr>
      <w:r>
        <w:rPr>
          <w:rFonts w:cs="Times New Roman" w:ascii="Times New Roman" w:hAnsi="Times New Roman"/>
          <w:sz w:val="22"/>
        </w:rPr>
        <w:t>Houston, Texas  77002</w:t>
      </w:r>
    </w:p>
    <w:p>
      <w:pPr>
        <w:pStyle w:val="Normal"/>
        <w:widowControl/>
        <w:spacing w:lineRule="exact" w:line="240"/>
        <w:ind w:start="2880" w:end="0"/>
        <w:jc w:val="both"/>
        <w:rPr>
          <w:rFonts w:ascii="Times New Roman" w:hAnsi="Times New Roman" w:cs="Times New Roman"/>
          <w:sz w:val="22"/>
        </w:rPr>
      </w:pPr>
      <w:r>
        <w:rPr>
          <w:rFonts w:cs="Times New Roman" w:ascii="Times New Roman" w:hAnsi="Times New Roman"/>
          <w:sz w:val="22"/>
        </w:rPr>
        <w:t>Attn: Vice President, Finance</w:t>
      </w:r>
    </w:p>
    <w:p>
      <w:pPr>
        <w:pStyle w:val="Normal"/>
        <w:widowControl/>
        <w:spacing w:lineRule="exact" w:line="240"/>
        <w:ind w:start="2880" w:end="0"/>
        <w:jc w:val="both"/>
        <w:rPr>
          <w:rFonts w:ascii="Times New Roman" w:hAnsi="Times New Roman" w:cs="Times New Roman"/>
          <w:sz w:val="22"/>
        </w:rPr>
      </w:pPr>
      <w:r>
        <w:rPr>
          <w:rFonts w:cs="Times New Roman" w:ascii="Times New Roman" w:hAnsi="Times New Roman"/>
          <w:sz w:val="22"/>
        </w:rPr>
        <w:tab/>
        <w:t>and Treasurer</w:t>
      </w:r>
    </w:p>
    <w:p>
      <w:pPr>
        <w:pStyle w:val="Normal"/>
        <w:widowControl/>
        <w:spacing w:lineRule="exact" w:line="240"/>
        <w:ind w:start="2880" w:end="0"/>
        <w:jc w:val="both"/>
        <w:rPr>
          <w:rFonts w:ascii="Times New Roman" w:hAnsi="Times New Roman" w:cs="Times New Roman"/>
          <w:sz w:val="22"/>
        </w:rPr>
      </w:pPr>
      <w:r>
        <w:rPr>
          <w:rFonts w:cs="Times New Roman" w:ascii="Times New Roman" w:hAnsi="Times New Roman"/>
          <w:sz w:val="22"/>
        </w:rPr>
        <w:t>Fax No.:  (713) 646-3422</w:t>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STATE OF TEXAS,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IN WITNESS WHEREOF, the Guarantor has executed this Guaranty on </w:t>
        <w:tab/>
      </w:r>
      <w:r>
        <w:rPr>
          <w:rFonts w:cs="Times New Roman" w:ascii="Times New Roman" w:hAnsi="Times New Roman"/>
          <w:sz w:val="22"/>
          <w:u w:val="single"/>
        </w:rPr>
        <w:tab/>
      </w:r>
      <w:r>
        <w:rPr>
          <w:rFonts w:cs="Times New Roman" w:ascii="Times New Roman" w:hAnsi="Times New Roman"/>
          <w:sz w:val="22"/>
        </w:rPr>
        <w:t>, 199_, but it is effective as of the date first above written.</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widowContro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widowContro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sectPr>
          <w:headerReference w:type="default" r:id="rId22"/>
          <w:headerReference w:type="first" r:id="rId23"/>
          <w:footerReference w:type="default" r:id="rId24"/>
          <w:footerReference w:type="first" r:id="rId25"/>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p>
      <w:pPr>
        <w:pStyle w:val="Normal"/>
        <w:widowControl/>
        <w:spacing w:lineRule="exact" w:line="240"/>
        <w:ind w:end="720"/>
        <w:jc w:val="center"/>
        <w:rPr>
          <w:rFonts w:ascii="Times New Roman" w:hAnsi="Times New Roman" w:cs="Times New Roman"/>
          <w:b/>
          <w:sz w:val="22"/>
        </w:rPr>
      </w:pPr>
      <w:r>
        <w:rPr>
          <w:rFonts w:cs="Times New Roman" w:ascii="Times New Roman" w:hAnsi="Times New Roman"/>
          <w:b/>
          <w:sz w:val="22"/>
          <w:u w:val="single"/>
        </w:rPr>
        <w:t>EXHIBIT [A][B]</w:t>
      </w:r>
    </w:p>
    <w:p>
      <w:pPr>
        <w:pStyle w:val="Normal"/>
        <w:widowControl/>
        <w:spacing w:lineRule="exact" w:line="240"/>
        <w:ind w:end="720"/>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end="720"/>
        <w:jc w:val="center"/>
        <w:rPr>
          <w:rFonts w:ascii="Times New Roman" w:hAnsi="Times New Roman" w:cs="Times New Roman"/>
          <w:b/>
          <w:sz w:val="22"/>
        </w:rPr>
      </w:pPr>
      <w:r>
        <w:rPr>
          <w:rFonts w:cs="Times New Roman" w:ascii="Times New Roman" w:hAnsi="Times New Roman"/>
          <w:b/>
          <w:sz w:val="22"/>
        </w:rPr>
        <w:t>[GUARANTOR]</w:t>
      </w:r>
    </w:p>
    <w:p>
      <w:pPr>
        <w:pStyle w:val="Normal"/>
        <w:widowControl/>
        <w:ind w:end="720"/>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end="720"/>
        <w:jc w:val="center"/>
        <w:rPr>
          <w:rFonts w:ascii="Times New Roman" w:hAnsi="Times New Roman" w:cs="Times New Roman"/>
          <w:sz w:val="22"/>
        </w:rPr>
      </w:pPr>
      <w:r>
        <w:rPr>
          <w:rFonts w:cs="Times New Roman" w:ascii="Times New Roman" w:hAnsi="Times New Roman"/>
          <w:sz w:val="22"/>
          <w:u w:val="single"/>
        </w:rPr>
        <w:t>Guaranty</w:t>
      </w:r>
    </w:p>
    <w:p>
      <w:pPr>
        <w:pStyle w:val="Normal"/>
        <w:widowControl/>
        <w:ind w:end="720"/>
        <w:jc w:val="both"/>
        <w:rPr>
          <w:rFonts w:ascii="Times New Roman" w:hAnsi="Times New Roman" w:cs="Times New Roman"/>
          <w:sz w:val="22"/>
        </w:rPr>
      </w:pPr>
      <w:r>
        <w:rPr>
          <w:rFonts w:cs="Times New Roman" w:ascii="Times New Roman" w:hAnsi="Times New Roman"/>
          <w:sz w:val="22"/>
        </w:rPr>
      </w:r>
    </w:p>
    <w:p>
      <w:pPr>
        <w:pStyle w:val="Normal"/>
        <w:widowControl/>
        <w:ind w:end="72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tab/>
      </w:r>
      <w:r>
        <w:rPr>
          <w:rFonts w:cs="Times New Roman" w:ascii="Times New Roman" w:hAnsi="Times New Roman"/>
          <w:sz w:val="22"/>
        </w:rPr>
        <w:t>, 199</w:t>
      </w:r>
      <w:r>
        <w:rPr>
          <w:rFonts w:cs="Times New Roman" w:ascii="Times New Roman" w:hAnsi="Times New Roman"/>
          <w:sz w:val="22"/>
          <w:u w:val="single"/>
        </w:rPr>
        <w:tab/>
      </w:r>
      <w:r>
        <w:rPr>
          <w:rFonts w:cs="Times New Roman" w:ascii="Times New Roman" w:hAnsi="Times New Roman"/>
          <w:sz w:val="22"/>
        </w:rPr>
        <w:t xml:space="preserve">, is made and entered into by </w:t>
      </w:r>
      <w:r>
        <w:rPr>
          <w:rFonts w:cs="Times New Roman" w:ascii="Times New Roman" w:hAnsi="Times New Roman"/>
          <w:b/>
          <w:sz w:val="22"/>
          <w:u w:val="single"/>
        </w:rPr>
        <w:t>[GUARANTOR]</w:t>
      </w:r>
      <w:r>
        <w:rPr>
          <w:rFonts w:cs="Times New Roman" w:ascii="Times New Roman" w:hAnsi="Times New Roman"/>
          <w:sz w:val="22"/>
        </w:rPr>
        <w:t xml:space="preserve">, a </w:t>
      </w:r>
      <w:r>
        <w:rPr>
          <w:rFonts w:cs="Times New Roman" w:ascii="Times New Roman" w:hAnsi="Times New Roman"/>
          <w:sz w:val="22"/>
          <w:u w:val="single"/>
        </w:rPr>
        <w:tab/>
        <w:tab/>
      </w:r>
      <w:r>
        <w:rPr>
          <w:rFonts w:cs="Times New Roman" w:ascii="Times New Roman" w:hAnsi="Times New Roman"/>
          <w:sz w:val="22"/>
        </w:rPr>
        <w:t xml:space="preserve"> corporation (“Guarantor”).</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widowControl/>
        <w:spacing w:lineRule="atLeast" w:line="24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widowContro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widowContro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sz w:val="22"/>
          <w:u w:val="single"/>
        </w:rPr>
        <w:tab/>
        <w:tab/>
        <w:tab/>
        <w:tab/>
      </w:r>
      <w:r>
        <w:rPr>
          <w:rFonts w:cs="Times New Roman" w:ascii="Times New Roman" w:hAnsi="Times New Roman"/>
          <w:sz w:val="22"/>
        </w:rPr>
        <w:t xml:space="preserve">, a wholly owned subsidiary of Guarantor (“Guaranteed Party”) and </w:t>
      </w:r>
      <w:r>
        <w:rPr>
          <w:rFonts w:cs="Times New Roman" w:ascii="Times New Roman" w:hAnsi="Times New Roman"/>
          <w:caps/>
          <w:sz w:val="22"/>
        </w:rPr>
        <w:t>Enron Capital &amp; Trade Resources Corp.</w:t>
      </w:r>
      <w:r>
        <w:rPr>
          <w:rFonts w:cs="Times New Roman" w:ascii="Times New Roman" w:hAnsi="Times New Roman"/>
          <w:sz w:val="22"/>
        </w:rPr>
        <w:t xml:space="preserve">, a Delaware corporation (“ECT”),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and Guaranteed Party.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ECT entering into the Contract, Guarantor hereby covenants and agrees as follows:</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Guaranteed Party (the “Obligations”) to ECT under the Contract, and (b) to the extent that Guaranteed Party shall fail to pay any Obligation, Guarantor shall promptly pay to ECT the amount due.  This Guaranty shall constitute a guarantee of payment and not of collection.  The liability of Guarantor under the Guaranty shall be subject to the following:</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widowControl/>
        <w:spacing w:lineRule="exact" w:line="240" w:before="240" w:after="0"/>
        <w:ind w:start="720" w:end="0"/>
        <w:jc w:val="both"/>
        <w:rPr/>
      </w:pPr>
      <w:r>
        <w:rPr>
          <w:rFonts w:cs="Times New Roman" w:ascii="Times New Roman" w:hAnsi="Times New Roman"/>
          <w:sz w:val="22"/>
        </w:rPr>
        <w:t>(b)  The aggregate amount covered by this Guaranty shall not exceed U.S. $</w:t>
      </w:r>
      <w:r>
        <w:rPr>
          <w:rFonts w:cs="Times New Roman" w:ascii="Times New Roman" w:hAnsi="Times New Roman"/>
          <w:sz w:val="22"/>
          <w:u w:val="single"/>
        </w:rPr>
        <w:t>_____________</w:t>
      </w:r>
      <w:r>
        <w:rPr>
          <w:rFonts w:cs="Times New Roman" w:ascii="Times New Roman" w:hAnsi="Times New Roman"/>
          <w:sz w:val="22"/>
        </w:rPr>
        <w:t>.</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Guaranteed Party fails or refuses to pay any Obligations, ECT shall notify Guaranteed Party in writing of the manner in which Guaranteed Party has failed to pay and demand that payment be made by Guaranteed Party.  If Guaranteed Party’s failure or refusal to pay continues for a period of fifteen (15) days after the date of ECT notice to Guaranteed Party, and ECT has elected to exercise its rights under this Guaranty, ECT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widowControl/>
        <w:spacing w:lineRule="exact" w:line="240" w:before="240" w:after="0"/>
        <w:ind w:start="720" w:end="0"/>
        <w:jc w:val="both"/>
        <w:rPr/>
      </w:pPr>
      <w:r>
        <w:rPr>
          <w:rFonts w:cs="Times New Roman" w:ascii="Times New Roman" w:hAnsi="Times New Roman"/>
          <w:sz w:val="22"/>
        </w:rPr>
        <w:t xml:space="preserve">(a)  it is a corporation duly organized and validly existing under the laws of the State of </w:t>
      </w:r>
      <w:r>
        <w:rPr>
          <w:rFonts w:cs="Times New Roman" w:ascii="Times New Roman" w:hAnsi="Times New Roman"/>
          <w:sz w:val="22"/>
          <w:u w:val="single"/>
        </w:rPr>
        <w:t>______________________</w:t>
      </w:r>
      <w:r>
        <w:rPr>
          <w:rFonts w:cs="Times New Roman" w:ascii="Times New Roman" w:hAnsi="Times New Roman"/>
          <w:sz w:val="22"/>
        </w:rPr>
        <w:t xml:space="preserve"> and has the corporate power and authority to execute, deliver and carry out the terms and provisions of the Guaranty; </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ECT.</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seek enforcement of any performance against Guaranteed Party or any other person, prior to any action against Guarantor under the terms hereof.  Except as to applicable statutes of limitation, no delay of ECT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ECT and upon the effectiveness of such termination, Guarantor shall have no further liability hereunder, except as provided in the last sentence of this paragraph.  No such termination shall be effective until five (5) business days after receipt by ECT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widowControl/>
        <w:spacing w:lineRule="atLeast" w:line="240"/>
        <w:ind w:start="1440" w:end="0"/>
        <w:jc w:val="both"/>
        <w:rPr>
          <w:rFonts w:ascii="Times New Roman" w:hAnsi="Times New Roman" w:cs="Times New Roman"/>
          <w:sz w:val="22"/>
        </w:rPr>
      </w:pPr>
      <w:r>
        <w:rPr>
          <w:rFonts w:cs="Times New Roman"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To ECT:</w:t>
            </w:r>
          </w:p>
        </w:tc>
        <w:tc>
          <w:tcPr>
            <w:tcW w:w="4302"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Enron Capital &amp; Trade Resources Corp.</w:t>
            </w:r>
          </w:p>
        </w:tc>
        <w:tc>
          <w:tcPr>
            <w:tcW w:w="1618"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To Guarantor:</w:t>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u w:val="single"/>
              </w:rPr>
              <w:tab/>
            </w:r>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1400 Smith Street</w:t>
            </w:r>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u w:val="single"/>
              </w:rPr>
              <w:tab/>
            </w:r>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Houston, Texas  77002</w:t>
            </w:r>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u w:val="single"/>
              </w:rPr>
              <w:tab/>
            </w:r>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Attn.:</w:t>
              <w:tab/>
              <w:t>Director, Documentation Department</w:t>
            </w:r>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Attn.:</w:t>
            </w:r>
            <w:r>
              <w:rPr>
                <w:rFonts w:cs="Times New Roman" w:ascii="Times New Roman" w:hAnsi="Times New Roman"/>
                <w:sz w:val="22"/>
                <w:u w:val="single"/>
              </w:rPr>
              <w:tab/>
            </w:r>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r>
              <w:rPr>
                <w:rFonts w:cs="Times New Roman" w:ascii="Times New Roman" w:hAnsi="Times New Roman"/>
                <w:sz w:val="22"/>
              </w:rPr>
              <w:t>Fax No.:  (713) 646-4816</w:t>
            </w:r>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Fax No.:</w:t>
            </w:r>
            <w:r>
              <w:rPr>
                <w:rFonts w:cs="Times New Roman" w:ascii="Times New Roman" w:hAnsi="Times New Roman"/>
                <w:sz w:val="22"/>
                <w:u w:val="single"/>
              </w:rPr>
              <w:tab/>
            </w:r>
          </w:p>
        </w:tc>
      </w:tr>
      <w:tr>
        <w:trPr/>
        <w:tc>
          <w:tcPr>
            <w:tcW w:w="1098"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1618"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widowControl/>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6480" w:leader="none"/>
        </w:tabs>
        <w:spacing w:lineRule="atLeast" w:line="240"/>
        <w:jc w:val="both"/>
        <w:rPr>
          <w:rFonts w:ascii="Times New Roman" w:hAnsi="Times New Roman" w:cs="Times New Roman"/>
          <w:sz w:val="22"/>
        </w:rPr>
      </w:pPr>
      <w:r>
        <w:rPr>
          <w:rFonts w:cs="Times New Roman" w:ascii="Times New Roman" w:hAnsi="Times New Roman"/>
          <w:sz w:val="22"/>
        </w:rPr>
        <w:t>A copy of any notice sent to ECT pursuant hereto must also be sent to the above address to  Enron Capital &amp; Trade Resources Corp., (i) Attention:  Corporate Secretary, Fax No. (713) 853-2534, and (ii) Attention:  Assistant General Counsel, Trading Group, Fax No. (713) 646-4818.</w:t>
      </w:r>
    </w:p>
    <w:p>
      <w:pPr>
        <w:pStyle w:val="Normal"/>
        <w:widowControl/>
        <w:spacing w:lineRule="exact" w:line="240"/>
        <w:ind w:start="3600" w:end="72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8.</w:t>
        <w:tab/>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STATE OF [TEXAS] [NEW YORK],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ECT, its successors and assigns.  The Guaranty embodies the entire agreement and understanding between Guarantor and ECT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pPr>
      <w:r>
        <w:rPr>
          <w:rFonts w:cs="Times New Roman" w:ascii="Times New Roman" w:hAnsi="Times New Roman"/>
          <w:sz w:val="22"/>
        </w:rPr>
        <w:t xml:space="preserve">IN WITNESS WHEREOF, the Guarantor has executed this Guaranty on </w:t>
      </w:r>
      <w:r>
        <w:rPr>
          <w:rFonts w:cs="Times New Roman" w:ascii="Times New Roman" w:hAnsi="Times New Roman"/>
          <w:sz w:val="22"/>
          <w:u w:val="single"/>
        </w:rPr>
        <w:tab/>
        <w:tab/>
      </w:r>
      <w:r>
        <w:rPr>
          <w:rFonts w:cs="Times New Roman" w:ascii="Times New Roman" w:hAnsi="Times New Roman"/>
          <w:sz w:val="22"/>
        </w:rPr>
        <w:t>, 199_, but it is effective as of the date first above written.</w:t>
      </w:r>
    </w:p>
    <w:p>
      <w:pPr>
        <w:pStyle w:val="Normal"/>
        <w:widowControl/>
        <w:spacing w:lineRule="atLeas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start="5040" w:end="0"/>
        <w:jc w:val="both"/>
        <w:rPr>
          <w:rFonts w:ascii="Times New Roman" w:hAnsi="Times New Roman" w:cs="Times New Roman"/>
          <w:sz w:val="22"/>
        </w:rPr>
      </w:pPr>
      <w:r>
        <w:rPr>
          <w:rFonts w:cs="Times New Roman" w:ascii="Times New Roman" w:hAnsi="Times New Roman"/>
          <w:b/>
          <w:sz w:val="22"/>
        </w:rPr>
        <w:t>[GUARANTOR]</w:t>
      </w:r>
    </w:p>
    <w:p>
      <w:pPr>
        <w:pStyle w:val="Normal"/>
        <w:widowControl/>
        <w:spacing w:lineRule="exact" w:line="240"/>
        <w:ind w:start="50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widowContro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sectPr>
          <w:headerReference w:type="default" r:id="rId26"/>
          <w:headerReference w:type="first" r:id="rId27"/>
          <w:footerReference w:type="default" r:id="rId28"/>
          <w:footerReference w:type="first" r:id="rId29"/>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spacing w:lineRule="atLeast" w:line="240"/>
        <w:ind w:start="5040" w:end="0"/>
        <w:jc w:val="both"/>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t>Form #1</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B:  Foreign Counterparty That is (i) Resident in a Treaty Jurisdiction</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and (ii) Acting Exclusively Through U.S. Branches or Offices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be effectively connected with its conduct of a trade or business in the United States.</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4224, or any successor form, (i) before the first Scheduled Payment Date under this Agreement, and thereafter prior to the first Scheduled Payment date in each successive taxable year of Party B, (ii) promptly upon reasonable demand by Party A, and (iii)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Form #3</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is (i) Resident in a</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Treaty Jurisdiction and (ii) Acting Exclusively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Through Non-U.S. Branches or Offices</w:t>
      </w:r>
    </w:p>
    <w:p>
      <w:pPr>
        <w:pStyle w:val="Normal"/>
        <w:widowControl/>
        <w:tabs>
          <w:tab w:val="clear" w:pos="720"/>
          <w:tab w:val="left" w:pos="117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Party B makes the following representation:</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succcessive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14"/>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#4</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U.S. Counterparty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w:t>
        <w:tab/>
        <w:t>The following representation applies to Party A:</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A is a corporation organized under the laws of the State of Delaware.</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(ii)</w:t>
        <w:tab/>
        <w:t>The following representation applies to Party B:</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B is a [corporation/partnership/limited liability company (that is treated as a partnership for federal income tax purposes)] organized under the laws of the State of [specify].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  None.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8"/>
          <w:headerReference w:type="first" r:id="rId39"/>
          <w:footerReference w:type="default" r:id="rId40"/>
          <w:footerReference w:type="first" r:id="rId4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#5</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br/>
        <w:t xml:space="preserve">Party B: Foreign Counterparty That is (i) Resident in a Treaty </w:t>
        <w:br/>
        <w:t>Jurisdiction and (ii) Acting Through Branches, Agencies or Offices Located</w:t>
        <w:br/>
        <w:t>Both In and Outside of the U.S.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480"/>
        <w:ind w:hanging="720" w:start="720" w:end="0"/>
        <w:jc w:val="both"/>
        <w:rPr>
          <w:rFonts w:ascii="Times New Roman" w:hAnsi="Times New Roman" w:cs="Times New Roman"/>
          <w:sz w:val="22"/>
        </w:rPr>
      </w:pPr>
      <w:r>
        <w:rPr>
          <w:rFonts w:cs="Times New Roman" w:ascii="Times New Roman" w:hAnsi="Times New Roman"/>
          <w:sz w:val="22"/>
        </w:rPr>
        <w:t>If such representation applies, then: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with respect to Party A,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(2) With respect to such Transactions, each payment received or to be received by Party B in connection with this Agreement will be effectively connected with its conduct of a trade or business in the United States.</w:t>
      </w:r>
    </w:p>
    <w:p>
      <w:pPr>
        <w:pStyle w:val="Normal"/>
        <w:widowControl/>
        <w:tabs>
          <w:tab w:val="left" w:pos="720" w:leader="none"/>
          <w:tab w:val="left" w:pos="1440" w:leader="none"/>
          <w:tab w:val="left" w:pos="2880" w:leader="none"/>
        </w:tabs>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(iii)</w:t>
        <w:tab/>
        <w:t>Party B makes the following representation:</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15"/>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in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42"/>
          <w:headerReference w:type="first" r:id="rId43"/>
          <w:footerReference w:type="default" r:id="rId44"/>
          <w:footerReference w:type="first" r:id="rId4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 Is Not Eligible</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 xml:space="preserve">for Treaty Benefits and (ii) May Act Through Branches, Offices or </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Agencies Located Both In and Outside of the U.S.</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B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With respect to such Transactions, each payment received or to be received by it in connection with this Agreement will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Style w:val="FootnoteCharacters"/>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Style w:val="FootnoteCharacters"/>
          <w:rFonts w:ascii="Times New Roman" w:hAnsi="Times New Roman" w:cs="Times New Roman"/>
          <w:sz w:val="22"/>
        </w:rPr>
      </w:pPr>
      <w:r>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46"/>
          <w:headerReference w:type="first" r:id="rId47"/>
          <w:footerReference w:type="default" r:id="rId48"/>
          <w:footerReference w:type="first" r:id="rId4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#7</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Foreign Counterparty That is (i) Not Eligible</w:t>
      </w:r>
    </w:p>
    <w:p>
      <w:pPr>
        <w:pStyle w:val="Normal"/>
        <w:widowControl/>
        <w:jc w:val="center"/>
        <w:rPr>
          <w:rFonts w:ascii="Times New Roman" w:hAnsi="Times New Roman" w:cs="Times New Roman"/>
          <w:b/>
          <w:sz w:val="22"/>
        </w:rPr>
      </w:pPr>
      <w:r>
        <w:rPr>
          <w:rFonts w:cs="Times New Roman" w:ascii="Times New Roman" w:hAnsi="Times New Roman"/>
          <w:b/>
          <w:sz w:val="22"/>
        </w:rPr>
        <w:t>For Treaty Benefits and (ii) Will Act Exclusively Through</w:t>
      </w:r>
    </w:p>
    <w:p>
      <w:pPr>
        <w:pStyle w:val="Normal"/>
        <w:widowControl/>
        <w:jc w:val="center"/>
        <w:rPr>
          <w:rFonts w:ascii="Times New Roman" w:hAnsi="Times New Roman" w:cs="Times New Roman"/>
          <w:b/>
          <w:sz w:val="22"/>
        </w:rPr>
      </w:pPr>
      <w:r>
        <w:rPr>
          <w:rFonts w:cs="Times New Roman" w:ascii="Times New Roman" w:hAnsi="Times New Roman"/>
          <w:b/>
          <w:sz w:val="22"/>
        </w:rPr>
        <w:t>Branches, Offices or Agencies Outside the U.S.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xml:space="preserve">( )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50"/>
          <w:headerReference w:type="first" r:id="rId51"/>
          <w:footerReference w:type="default" r:id="rId52"/>
          <w:footerReference w:type="first" r:id="rId5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#8</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 Party B: Foreign Government, Foreign Government Agency, or International Agency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r>
        <w:rPr>
          <w:rStyle w:val="FootnoteCharacters"/>
          <w:rStyle w:val="FootnoteReference"/>
          <w:rFonts w:cs="Times New Roman" w:ascii="Times New Roman" w:hAnsi="Times New Roman"/>
          <w:sz w:val="22"/>
        </w:rPr>
        <w:footnoteReference w:id="16"/>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[The following representation is appropriate if Party B is a foreign government:</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(1)</w:t>
        <w:tab/>
        <w:t>Party B is a foreign sovereign, including</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widowControl/>
        <w:spacing w:lineRule="exact" w:line="240" w:before="240" w:after="0"/>
        <w:ind w:hanging="720" w:start="2160" w:end="0"/>
        <w:jc w:val="both"/>
        <w:rPr/>
      </w:pPr>
      <w:r>
        <w:rPr>
          <w:rFonts w:cs="Times New Roman" w:ascii="Times New Roman" w:hAnsi="Times New Roman"/>
          <w:sz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rFonts w:cs="Times New Roman" w:ascii="Times New Roman" w:hAnsi="Times New Roman"/>
          <w:sz w:val="22"/>
          <w:u w:val="single"/>
        </w:rPr>
        <w:t>and</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(iii)</w:t>
        <w:tab/>
        <w:t>whose assets vest in the foreign sovereign upon distribution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(2)</w:t>
        <w:tab/>
        <w:t>All the net earnings of Party B inure to the benefit of a foreign sovereign and none of the net earnings of Party B inure to the benefit of any private person.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(3)</w:t>
        <w:tab/>
        <w:t>The Agreement was entered into in the execution of governmental financial or monetary policy (including the implementation or effectuation of such policy).</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(4)</w:t>
        <w:tab/>
        <w:t>No payment received or to be received by Party B in connection with this Agreement will be in respect of a commercial activity.]</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[The following representation is appropriate if Party B is an international organization: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Party B is a public international organization entitled to enjoy privileges, exemptions, and immunities as an international organization under the International Organizations Immunities Act, 22 United States Code Section 288-288f.]</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 )</w:t>
        <w:tab/>
        <w:t>Party B makes the following represention: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keepNext w:val="true"/>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keepNext w:val="true"/>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For the purpose of Section 4(a), the Tax forms, documents, or certifates to be delivered are:</w:t>
      </w:r>
      <w:r>
        <w:rPr>
          <w:rStyle w:val="FootnoteCharacters"/>
          <w:rStyle w:val="FootnoteReference"/>
          <w:rFonts w:cs="Times New Roman" w:ascii="Times New Roman" w:hAnsi="Times New Roman"/>
          <w:sz w:val="22"/>
        </w:rPr>
        <w:footnoteReference w:id="17"/>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before December 31st of each third successive calendar year,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in duplicate a United States Internal Revenue Service Form W-8, or any successor form, (i) Before the first Scheduled Payment Date under this Agreement, before December 31st of each second successive calendar year, (ii) before the first Scheduled Payment Date of each successive taxable year of Party B,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18"/>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8709, or any successor form,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16"/>
        </w:rPr>
      </w:pPr>
      <w:r>
        <w:rPr>
          <w:rFonts w:cs="Times New Roman" w:ascii="Times New Roman" w:hAnsi="Times New Roman"/>
          <w:sz w:val="16"/>
        </w:rPr>
        <w:t>Form ISDAEXH1.doc</w:t>
      </w:r>
    </w:p>
    <w:p>
      <w:pPr>
        <w:pStyle w:val="Normal"/>
        <w:widowControl/>
        <w:spacing w:lineRule="exact" w:line="240"/>
        <w:jc w:val="both"/>
        <w:rPr>
          <w:rFonts w:ascii="Times New Roman" w:hAnsi="Times New Roman" w:cs="Times New Roman"/>
          <w:b/>
          <w:sz w:val="16"/>
        </w:rPr>
      </w:pPr>
      <w:r>
        <w:rPr>
          <w:rFonts w:cs="Times New Roman" w:ascii="Times New Roman" w:hAnsi="Times New Roman"/>
          <w:sz w:val="16"/>
        </w:rPr>
        <w:t>FORM DATE 11/6/96</w:t>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keepLines/>
        <w:widowControl/>
        <w:spacing w:lineRule="exact" w:line="240"/>
        <w:jc w:val="center"/>
        <w:rPr>
          <w:rFonts w:ascii="Times New Roman" w:hAnsi="Times New Roman" w:cs="Times New Roman"/>
          <w:sz w:val="22"/>
        </w:rPr>
      </w:pPr>
      <w:r>
        <w:rPr>
          <w:rFonts w:cs="Times New Roman" w:ascii="Times New Roman" w:hAnsi="Times New Roman"/>
          <w:sz w:val="22"/>
        </w:rPr>
      </w:r>
    </w:p>
    <w:sectPr>
      <w:headerReference w:type="default" r:id="rId54"/>
      <w:headerReference w:type="first" r:id="rId55"/>
      <w:footerReference w:type="default" r:id="rId56"/>
      <w:footerReference w:type="first" r:id="rId5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 w:name="MS LineDra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Page</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__</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-2-</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rFonts w:ascii="MS LineDraw" w:hAnsi="MS LineDraw" w:cs="MS LineDraw"/>
        <w:sz w:val="14"/>
      </w:rPr>
    </w:pPr>
    <w:r>
      <w:rPr>
        <w:rFonts w:cs="MS LineDraw" w:ascii="MS LineDraw" w:hAnsi="MS LineDraw"/>
        <w:sz w:val="1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rPr>
    </w:pPr>
    <w:r>
      <w:rPr>
        <w:rFonts w:cs="Times New Roman" w:ascii="Times New Roman" w:hAnsi="Times New Roman"/>
      </w:rPr>
      <w:t>Exhibit A</w:t>
    </w:r>
  </w:p>
  <w:p>
    <w:pPr>
      <w:pStyle w:val="Normal"/>
      <w:widowControl/>
      <w:jc w:val="center"/>
      <w:rPr>
        <w:rFonts w:ascii="Times New Roman" w:hAnsi="Times New Roman" w:cs="Times New Roman"/>
      </w:rPr>
    </w:pPr>
    <w:r>
      <w:rPr>
        <w:rFonts w:cs="Times New Roman" w:ascii="Times New Roman" w:hAnsi="Times New Roman"/>
      </w:rPr>
      <w:t>to Paragraph 13</w:t>
    </w:r>
  </w:p>
  <w:p>
    <w:pPr>
      <w:pStyle w:val="Normal"/>
      <w:widowControl/>
      <w:jc w:val="center"/>
      <w:rPr>
        <w:rFonts w:ascii="Times New Roman" w:hAnsi="Times New Roman" w:cs="Times New Roman"/>
      </w:rPr>
    </w:pPr>
    <w:r>
      <w:rPr>
        <w:rFonts w:cs="Times New Roman" w:ascii="Times New Roman" w:hAnsi="Times New Roman"/>
      </w:rPr>
      <w:t>of 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rStyle w:val="PageNumber"/>
        <w:rFonts w:cs="Times New Roman" w:ascii="Times New Roman" w:hAnsi="Times New Roman"/>
      </w:rPr>
      <w:t>Annex A</w:t>
    </w:r>
  </w:p>
  <w:p>
    <w:pPr>
      <w:pStyle w:val="Normal"/>
      <w:widowControl/>
      <w:spacing w:lineRule="exact" w:line="240"/>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sz w:val="24"/>
      </w:rPr>
    </w:pPr>
    <w:r>
      <w:rPr>
        <w:rFonts w:cs="Times New Roman" w:ascii="Times New Roman" w:hAnsi="Times New Roman"/>
        <w:sz w:val="24"/>
      </w:rPr>
      <w:t>Annex C</w:t>
    </w:r>
  </w:p>
  <w:p>
    <w:pPr>
      <w:pStyle w:val="Footer"/>
      <w:widowContro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No government securities over one year without Credit’s approval.</w:t>
      </w:r>
    </w:p>
  </w:footnote>
  <w:footnote w:id="3">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for bank counterparty; likely insert for industrial counterparty.</w:t>
      </w:r>
    </w:p>
  </w:footnote>
  <w:footnote w:id="4">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two rated guarantors, then delete (i) the phrase "</w:t>
      </w:r>
      <w:r>
        <w:rPr>
          <w:rFonts w:cs="Times New Roman" w:ascii="Times New Roman" w:hAnsi="Times New Roman"/>
          <w:sz w:val="18"/>
          <w:u w:val="single"/>
        </w:rPr>
        <w:t>the party (or</w:t>
      </w:r>
      <w:r>
        <w:rPr>
          <w:rFonts w:cs="Times New Roman" w:ascii="Times New Roman" w:hAnsi="Times New Roman"/>
          <w:sz w:val="18"/>
        </w:rPr>
        <w:t>" and (ii) parenthesis after "</w:t>
      </w:r>
      <w:r>
        <w:rPr>
          <w:rFonts w:cs="Times New Roman" w:ascii="Times New Roman" w:hAnsi="Times New Roman"/>
          <w:sz w:val="18"/>
          <w:u w:val="single"/>
        </w:rPr>
        <w:t>Corp</w:t>
      </w:r>
      <w:r>
        <w:rPr>
          <w:rFonts w:cs="Times New Roman" w:ascii="Times New Roman" w:hAnsi="Times New Roman"/>
          <w:sz w:val="18"/>
        </w:rPr>
        <w:t>." and (iii) brackets surrounding the phrase "</w:t>
      </w:r>
      <w:r>
        <w:rPr>
          <w:rFonts w:cs="Times New Roman" w:ascii="Times New Roman" w:hAnsi="Times New Roman"/>
          <w:sz w:val="18"/>
          <w:u w:val="single"/>
        </w:rPr>
        <w:t>in the case of Counterparty,                and</w:t>
      </w:r>
      <w:r>
        <w:rPr>
          <w:rFonts w:cs="Times New Roman" w:ascii="Times New Roman" w:hAnsi="Times New Roman"/>
          <w:sz w:val="18"/>
        </w:rPr>
        <w:t>".</w:t>
      </w:r>
    </w:p>
  </w:footnote>
  <w:footnote w:id="5">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for paper and pulp transactions only.</w:t>
      </w:r>
    </w:p>
  </w:footnote>
  <w:footnote w:id="6">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if Counterparty is a U.S. bank or thrift subject to FDIA.</w:t>
      </w:r>
    </w:p>
  </w:footnote>
  <w:footnote w:id="7">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language in brackets for bank counterparties.</w:t>
      </w:r>
    </w:p>
  </w:footnote>
  <w:footnote w:id="8">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for stairstep threshold.</w:t>
      </w:r>
    </w:p>
  </w:footnote>
  <w:footnote w:id="9">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language in brackets for bank counterparties.</w:t>
      </w:r>
    </w:p>
  </w:footnote>
  <w:footnote w:id="10">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language in brackets for bank counterparties.</w:t>
      </w:r>
    </w:p>
  </w:footnote>
  <w:footnote w:id="11">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two rated guarantors, then delete (i) the phrase "</w:t>
      </w:r>
      <w:r>
        <w:rPr>
          <w:rFonts w:cs="Times New Roman" w:ascii="Times New Roman" w:hAnsi="Times New Roman"/>
          <w:sz w:val="18"/>
          <w:u w:val="single"/>
        </w:rPr>
        <w:t>the party (or</w:t>
      </w:r>
      <w:r>
        <w:rPr>
          <w:rFonts w:cs="Times New Roman" w:ascii="Times New Roman" w:hAnsi="Times New Roman"/>
          <w:sz w:val="18"/>
        </w:rPr>
        <w:t>", (ii) end parenthesis after "</w:t>
      </w:r>
      <w:r>
        <w:rPr>
          <w:rFonts w:cs="Times New Roman" w:ascii="Times New Roman" w:hAnsi="Times New Roman"/>
          <w:sz w:val="18"/>
          <w:u w:val="single"/>
        </w:rPr>
        <w:t>Corp.</w:t>
      </w:r>
      <w:r>
        <w:rPr>
          <w:rFonts w:cs="Times New Roman" w:ascii="Times New Roman" w:hAnsi="Times New Roman"/>
          <w:sz w:val="18"/>
        </w:rPr>
        <w:t>" and (iii) brackets surrounding the phrase "</w:t>
      </w:r>
      <w:r>
        <w:rPr>
          <w:rFonts w:cs="Times New Roman" w:ascii="Times New Roman" w:hAnsi="Times New Roman"/>
          <w:sz w:val="18"/>
          <w:u w:val="single"/>
        </w:rPr>
        <w:t>in the case of Counterparty,         and</w:t>
      </w:r>
      <w:r>
        <w:rPr>
          <w:rFonts w:cs="Times New Roman" w:ascii="Times New Roman" w:hAnsi="Times New Roman"/>
          <w:sz w:val="18"/>
        </w:rPr>
        <w:t>".</w:t>
      </w:r>
    </w:p>
  </w:footnote>
  <w:footnote w:id="12">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language in brackets for bank counterparties.</w:t>
      </w:r>
    </w:p>
  </w:footnote>
  <w:footnote w:id="13">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language in brackets for bank counterparties.</w:t>
      </w:r>
    </w:p>
  </w:footnote>
  <w:footnote w:id="14">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15">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16">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This representation is appropriate if Party B is entitled to treaty benefits.</w:t>
      </w:r>
    </w:p>
  </w:footnote>
  <w:footnote w:id="17">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Note:  A Form W-8 is helpful but not necessary.  Neither Form W-8 nor Form 8709 is necessary if Form 1001 is received and the relevant treaty provides for a zero rate of withholding on interest.</w:t>
      </w:r>
    </w:p>
  </w:footnote>
  <w:footnote w:id="18">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Party B has the designation "Bank" in its name.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Courier" w:hAnsi="Courier" w:cs="Courier"/>
        <w:sz w:val="24"/>
      </w:rPr>
    </w:pPr>
    <w:r>
      <w:rPr>
        <w:rFonts w:cs="Courier" w:ascii="Courier" w:hAnsi="Courier"/>
        <w:sz w:val="24"/>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896" w:leader="none"/>
        <w:tab w:val="right" w:pos="9360" w:leader="none"/>
      </w:tabs>
      <w:spacing w:lineRule="exact" w:line="240"/>
      <w:ind w:start="72" w:end="-1152"/>
      <w:rPr>
        <w:rFonts w:ascii="MS LineDraw" w:hAnsi="MS LineDraw" w:cs="MS LineDraw"/>
        <w:sz w:val="24"/>
      </w:rPr>
    </w:pPr>
    <w:r>
      <w:rPr>
        <w:rFonts w:cs="MS LineDraw" w:ascii="MS LineDraw" w:hAnsi="MS LineDraw"/>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MS LineDraw" w:hAnsi="MS LineDraw" w:cs="MS LineDraw"/>
        <w:sz w:val="24"/>
      </w:rPr>
    </w:pPr>
    <w:r>
      <w:rPr>
        <w:rFonts w:cs="MS LineDraw" w:ascii="MS LineDraw" w:hAnsi="MS LineDraw"/>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spacing w:lineRule="exact" w:line="240" w:before="240" w:after="0"/>
      <w:ind w:firstLine="180" w:start="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footnotes" Target="foot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1999-08-17T16:20:00Z</dcterms:created>
  <dc:creator>ECT</dc:creator>
  <dc:description>10/14/93</dc:description>
  <dc:language>en-CA</dc:language>
  <cp:lastModifiedBy>tjones</cp:lastModifiedBy>
  <cp:lastPrinted>1998-05-13T18:53:00Z</cp:lastPrinted>
  <dcterms:modified xsi:type="dcterms:W3CDTF">1999-08-17T16:20:00Z</dcterms:modified>
  <cp:revision>2</cp:revision>
  <dc:subject>2nd Draft 8/10/93rmj</dc:subject>
  <dc:title>SCHEDULE TO THE MASTER AGREEMENT</dc:title>
</cp:coreProperties>
</file>