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This column is dedicated to interesting developments in the area of energy finance, derivatives, risk management and related issues. I don’t necessarily agree with or endorse the views presented here. My objective is to signal interesting developments or publications that may be of interest to different business units of Enron.</w:t>
      </w:r>
    </w:p>
    <w:p>
      <w:pPr>
        <w:pStyle w:val="Normal"/>
        <w:jc w:val="both"/>
        <w:rPr/>
      </w:pPr>
      <w:r>
        <w:rPr/>
      </w:r>
    </w:p>
    <w:p>
      <w:pPr>
        <w:pStyle w:val="Normal"/>
        <w:jc w:val="both"/>
        <w:rPr/>
      </w:pPr>
      <w:r>
        <w:rPr/>
        <w:t>Today’s column is about the oil prices. For the last 30 years OPEC policy was perceived as the main determinant of the oil prices. A paper written several years ago by Jacques Crémer and Djavad Salehi-Isfahani (Annales d’Économie et de Statistique, 1989), proposed an alternative explanation. The authors contend that the market for oil is nearly competitive and OPEC is a factor of secondary magnitude, which can influence the market under certain configuration of market forces. The most important feature of the world oil market is a backward bending supply curve that looks like a letter S (see the figure below). The shape of the supply curve is explained in the paper by a number of factors. The main reason is that oil reserve in the ground is seen as an investment that increases in value with the oil prices. The ability to absorb higher oil revenues through investments and consumption may be limited as many countries lack the necessary infrastructure to use the revenues above certain level wisely (there is no limit to how much may be wasted).</w:t>
      </w:r>
    </w:p>
    <w:p>
      <w:pPr>
        <w:pStyle w:val="Normal"/>
        <w:jc w:val="both"/>
        <w:rPr/>
      </w:pPr>
      <w:r>
        <w:rPr/>
      </w:r>
    </w:p>
    <w:p>
      <w:pPr>
        <w:pStyle w:val="Normal"/>
        <w:jc w:val="both"/>
        <w:rPr/>
      </w:pPr>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24pt;height:243pt" filled="f" o:ole="">
            <v:imagedata r:id="rId3" o:title=""/>
          </v:shape>
          <o:OLEObject Type="Embed" ProgID="PowerPoint.Show.12" ShapeID="ole_rId2" DrawAspect="Content" ObjectID="_598185362" r:id="rId2"/>
        </w:object>
      </w:r>
    </w:p>
    <w:p>
      <w:pPr>
        <w:pStyle w:val="Normal"/>
        <w:jc w:val="both"/>
        <w:rPr/>
      </w:pPr>
      <w:r>
        <w:rPr/>
      </w:r>
    </w:p>
    <w:p>
      <w:pPr>
        <w:pStyle w:val="Normal"/>
        <w:jc w:val="both"/>
        <w:rPr/>
      </w:pPr>
      <w:r>
        <w:rPr/>
        <w:t>The supply and demand curves will typically cross at one of the three points (L, U, or H). Points L and H represent, respectively, low and high price equilibriums. Point U is an unstable equilibrium: any departure in either direction from U will trigger a mechanism increasing the departure.</w:t>
      </w:r>
    </w:p>
    <w:p>
      <w:pPr>
        <w:pStyle w:val="Normal"/>
        <w:jc w:val="both"/>
        <w:rPr/>
      </w:pPr>
      <w:r>
        <w:rPr/>
      </w:r>
    </w:p>
    <w:p>
      <w:pPr>
        <w:pStyle w:val="Normal"/>
        <w:jc w:val="both"/>
        <w:rPr/>
      </w:pPr>
      <w:r>
        <w:rPr/>
        <w:t>What happens if we are at point H (high prices) and the demand falls (due to conservation measures or, for example, Asian crisis)? The prices will swing to a low level equilibrium L’. If a sufficient shock to demand or supply (or both) occurs in the future they may return very fast to the high-level equilibrium point. What is required for this to happen is the confidence of the producers that the high prices will hold. Only in this case they will be willing to curtail production in a way that is consistent with the backward bending supply curve and the high price equilibrium. OPEC alone cannot maintain prices at the high level.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2000-03-13T11:59:00Z</dcterms:created>
  <dc:creator>Vince Kaminski</dc:creator>
  <dc:description/>
  <dc:language>en-CA</dc:language>
  <cp:lastModifiedBy>vkamins</cp:lastModifiedBy>
  <cp:lastPrinted>2000-03-13T08:15:00Z</cp:lastPrinted>
  <dcterms:modified xsi:type="dcterms:W3CDTF">2000-03-13T11:59:00Z</dcterms:modified>
  <cp:revision>2</cp:revision>
  <dc:subject/>
  <dc:title>This column is dedicated to interesting developments in the area of energy finance, derivatives, risk management and related i</dc:title>
</cp:coreProperties>
</file>