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center" w:pos="7488" w:leader="none"/>
        </w:tabs>
        <w:suppressAutoHyphens w:val="true"/>
        <w:jc w:val="center"/>
        <w:rPr>
          <w:rFonts w:ascii="CG Times" w:hAnsi="CG Times" w:cs="CG Times"/>
          <w:b/>
          <w:spacing w:val="-2"/>
          <w:kern w:val="2"/>
          <w:u w:val="single"/>
        </w:rPr>
      </w:pPr>
      <w:r>
        <w:rPr>
          <w:rFonts w:cs="CG Times" w:ascii="CG Times" w:hAnsi="CG Times"/>
          <w:spacing w:val="-2"/>
          <w:kern w:val="2"/>
        </w:rPr>
        <w:drawing>
          <wp:inline distT="0" distB="0" distL="0" distR="0">
            <wp:extent cx="3515360" cy="1043940"/>
            <wp:effectExtent l="0" t="0" r="0" b="0"/>
            <wp:docPr id="1" name="!logo%2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31" descr="" title=""/>
                    <pic:cNvPicPr>
                      <a:picLocks noChangeAspect="1" noChangeArrowheads="1"/>
                    </pic:cNvPicPr>
                  </pic:nvPicPr>
                  <pic:blipFill>
                    <a:blip r:embed="rId2"/>
                    <a:srcRect l="-2" t="-6" r="-2" b="-6"/>
                    <a:stretch>
                      <a:fillRect/>
                    </a:stretch>
                  </pic:blipFill>
                  <pic:spPr bwMode="auto">
                    <a:xfrm>
                      <a:off x="0" y="0"/>
                      <a:ext cx="3515360" cy="1043940"/>
                    </a:xfrm>
                    <a:prstGeom prst="rect">
                      <a:avLst/>
                    </a:prstGeom>
                    <a:noFill/>
                  </pic:spPr>
                </pic:pic>
              </a:graphicData>
            </a:graphic>
          </wp:inline>
        </w:drawing>
      </w:r>
    </w:p>
    <w:p>
      <w:pPr>
        <w:pStyle w:val="Heading3"/>
        <w:ind w:hanging="0" w:start="0"/>
        <w:rPr>
          <w:b/>
          <w:sz w:val="24"/>
        </w:rPr>
      </w:pPr>
      <w:r>
        <w:rPr>
          <w:b/>
          <w:sz w:val="24"/>
        </w:rPr>
        <w:t>Eve L. Logsdon (503) 276-2132</w:t>
      </w:r>
    </w:p>
    <w:p>
      <w:pPr>
        <w:pStyle w:val="Normal"/>
        <w:tabs>
          <w:tab w:val="left" w:pos="720" w:leader="none"/>
          <w:tab w:val="left" w:pos="1440" w:leader="none"/>
          <w:tab w:val="left" w:pos="2160" w:leader="none"/>
          <w:tab w:val="left" w:pos="2880" w:leader="none"/>
          <w:tab w:val="left" w:pos="3600" w:leader="none"/>
          <w:tab w:val="left" w:pos="4320" w:leader="none"/>
          <w:tab w:val="center" w:pos="7488" w:leader="none"/>
        </w:tabs>
        <w:suppressAutoHyphens w:val="true"/>
        <w:jc w:val="center"/>
        <w:rPr>
          <w:rFonts w:ascii="CG Times" w:hAnsi="CG Times" w:cs="CG Times"/>
          <w:spacing w:val="-2"/>
          <w:kern w:val="2"/>
          <w:sz w:val="28"/>
        </w:rPr>
      </w:pPr>
      <w:r>
        <w:rPr>
          <w:rFonts w:cs="CG Times" w:ascii="CG Times" w:hAnsi="CG Times"/>
          <w:b/>
          <w:spacing w:val="-2"/>
          <w:kern w:val="2"/>
          <w:sz w:val="24"/>
        </w:rPr>
        <w:t>E-mail elogsdon@barran.com</w:t>
      </w:r>
    </w:p>
    <w:p>
      <w:pPr>
        <w:pStyle w:val="Normal"/>
        <w:tabs>
          <w:tab w:val="left" w:pos="720" w:leader="none"/>
          <w:tab w:val="left" w:pos="1440" w:leader="none"/>
          <w:tab w:val="left" w:pos="2160" w:leader="none"/>
          <w:tab w:val="left" w:pos="2880" w:leader="none"/>
          <w:tab w:val="left" w:pos="3600" w:leader="none"/>
          <w:tab w:val="left" w:pos="4320" w:leader="none"/>
          <w:tab w:val="center" w:pos="7488" w:leader="none"/>
        </w:tabs>
        <w:suppressAutoHyphens w:val="true"/>
        <w:jc w:val="center"/>
        <w:rPr>
          <w:rFonts w:ascii="CG Times" w:hAnsi="CG Times" w:cs="CG Times"/>
          <w:b/>
          <w:spacing w:val="-2"/>
          <w:kern w:val="2"/>
          <w:sz w:val="28"/>
          <w:u w:val="single"/>
        </w:rPr>
      </w:pPr>
      <w:r>
        <w:rPr>
          <w:rFonts w:cs="CG Times" w:ascii="CG Times" w:hAnsi="CG Times"/>
          <w:b/>
          <w:spacing w:val="-2"/>
          <w:kern w:val="2"/>
          <w:sz w:val="28"/>
          <w:u w:val="single"/>
        </w:rPr>
      </w:r>
    </w:p>
    <w:p>
      <w:pPr>
        <w:pStyle w:val="Normal"/>
        <w:tabs>
          <w:tab w:val="left" w:pos="720" w:leader="none"/>
          <w:tab w:val="left" w:pos="1440" w:leader="none"/>
          <w:tab w:val="left" w:pos="2160" w:leader="none"/>
          <w:tab w:val="left" w:pos="2880" w:leader="none"/>
          <w:tab w:val="left" w:pos="3600" w:leader="none"/>
          <w:tab w:val="left" w:pos="4320" w:leader="none"/>
          <w:tab w:val="center" w:pos="7488" w:leader="none"/>
        </w:tabs>
        <w:suppressAutoHyphens w:val="true"/>
        <w:jc w:val="center"/>
        <w:rPr>
          <w:rFonts w:ascii="CG Times" w:hAnsi="CG Times" w:cs="CG Times"/>
          <w:b/>
          <w:spacing w:val="-2"/>
          <w:kern w:val="2"/>
          <w:u w:val="single"/>
        </w:rPr>
      </w:pPr>
      <w:r>
        <w:rPr>
          <w:rFonts w:cs="CG Times" w:ascii="CG Times" w:hAnsi="CG Times"/>
          <w:b/>
          <w:spacing w:val="-2"/>
          <w:kern w:val="2"/>
          <w:u w:val="single"/>
        </w:rPr>
      </w:r>
    </w:p>
    <w:p>
      <w:pPr>
        <w:pStyle w:val="Heading1"/>
        <w:ind w:hanging="0" w:start="0"/>
        <w:rPr/>
      </w:pPr>
      <w:r>
        <w:rPr/>
        <w:t>COMPARISON CHART OF OFLA AND FMLA</w:t>
      </w:r>
    </w:p>
    <w:p>
      <w:pPr>
        <w:pStyle w:val="Heading4"/>
        <w:ind w:hanging="0" w:start="0"/>
        <w:rPr/>
      </w:pPr>
      <w:r>
        <w:rPr/>
        <w:t>(Note: Use the Law Most Favorable to Employees)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jc w:val="both"/>
        <w:rPr>
          <w:rFonts w:ascii="CG Times" w:hAnsi="CG Times" w:cs="CG Times"/>
          <w:spacing w:val="-2"/>
          <w:kern w:val="2"/>
        </w:rPr>
      </w:pPr>
      <w:r>
        <w:rPr>
          <w:rFonts w:cs="CG Times" w:ascii="CG Times" w:hAnsi="CG Times"/>
          <w:spacing w:val="-2"/>
          <w:kern w:val="2"/>
        </w:rPr>
      </w:r>
    </w:p>
    <w:tbl>
      <w:tblPr>
        <w:tblW w:w="9480" w:type="dxa"/>
        <w:jc w:val="center"/>
        <w:tblInd w:w="0" w:type="dxa"/>
        <w:tblLayout w:type="fixed"/>
        <w:tblCellMar>
          <w:top w:w="0" w:type="dxa"/>
          <w:start w:w="120" w:type="dxa"/>
          <w:bottom w:w="0" w:type="dxa"/>
          <w:end w:w="120" w:type="dxa"/>
        </w:tblCellMar>
      </w:tblPr>
      <w:tblGrid>
        <w:gridCol w:w="1728"/>
        <w:gridCol w:w="3022"/>
        <w:gridCol w:w="2909"/>
        <w:gridCol w:w="1821"/>
      </w:tblGrid>
      <w:tr>
        <w:trPr>
          <w:tblHeader w:val="true"/>
        </w:trPr>
        <w:tc>
          <w:tcPr>
            <w:tcW w:w="1728" w:type="dxa"/>
            <w:tcBorders>
              <w:top w:val="single" w:sz="12" w:space="0" w:color="000000"/>
              <w:start w:val="single" w:sz="12"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napToGrid w:val="false"/>
              <w:spacing w:before="90" w:after="54"/>
              <w:rPr>
                <w:rFonts w:ascii="CG Times" w:hAnsi="CG Times" w:cs="CG Times"/>
                <w:spacing w:val="-2"/>
                <w:kern w:val="2"/>
              </w:rPr>
            </w:pPr>
            <w:r>
              <w:rPr>
                <w:rFonts w:cs="CG Times" w:ascii="CG Times" w:hAnsi="CG Times"/>
                <w:spacing w:val="-2"/>
                <w:kern w:val="2"/>
              </w:rPr>
            </w:r>
          </w:p>
        </w:tc>
        <w:tc>
          <w:tcPr>
            <w:tcW w:w="3022" w:type="dxa"/>
            <w:tcBorders>
              <w:top w:val="single" w:sz="12" w:space="0" w:color="000000"/>
              <w:start w:val="single" w:sz="6"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jc w:val="center"/>
              <w:rPr>
                <w:rFonts w:ascii="CG Times" w:hAnsi="CG Times" w:cs="CG Times"/>
                <w:b/>
                <w:spacing w:val="-2"/>
                <w:kern w:val="2"/>
              </w:rPr>
            </w:pPr>
            <w:r>
              <w:rPr>
                <w:rFonts w:cs="CG Times" w:ascii="CG Times" w:hAnsi="CG Times"/>
                <w:b/>
                <w:spacing w:val="-2"/>
                <w:kern w:val="2"/>
              </w:rPr>
              <w:t>Federal Family and Medical Leave Act</w:t>
            </w:r>
          </w:p>
        </w:tc>
        <w:tc>
          <w:tcPr>
            <w:tcW w:w="2909" w:type="dxa"/>
            <w:tcBorders>
              <w:top w:val="single" w:sz="12" w:space="0" w:color="000000"/>
              <w:start w:val="single" w:sz="6"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jc w:val="center"/>
              <w:rPr>
                <w:rFonts w:ascii="CG Times" w:hAnsi="CG Times" w:cs="CG Times"/>
                <w:b/>
                <w:spacing w:val="-2"/>
                <w:kern w:val="2"/>
              </w:rPr>
            </w:pPr>
            <w:r>
              <w:rPr>
                <w:rFonts w:cs="CG Times" w:ascii="CG Times" w:hAnsi="CG Times"/>
                <w:b/>
                <w:spacing w:val="-2"/>
                <w:kern w:val="2"/>
              </w:rPr>
              <w:t>Oregon Family Leave Act</w:t>
            </w:r>
          </w:p>
        </w:tc>
        <w:tc>
          <w:tcPr>
            <w:tcW w:w="1821" w:type="dxa"/>
            <w:tcBorders>
              <w:top w:val="single" w:sz="12" w:space="0" w:color="000000"/>
              <w:start w:val="single" w:sz="6" w:space="0" w:color="000000"/>
              <w:bottom w:val="single" w:sz="12" w:space="0" w:color="000000"/>
              <w:end w:val="single" w:sz="12"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jc w:val="center"/>
              <w:rPr>
                <w:rFonts w:ascii="CG Times" w:hAnsi="CG Times" w:cs="CG Times"/>
                <w:b/>
                <w:spacing w:val="-2"/>
                <w:kern w:val="2"/>
              </w:rPr>
            </w:pPr>
            <w:r>
              <w:rPr>
                <w:rFonts w:cs="CG Times" w:ascii="CG Times" w:hAnsi="CG Times"/>
                <w:b/>
                <w:spacing w:val="-2"/>
                <w:kern w:val="2"/>
              </w:rPr>
              <w:t>Law Most Favorable to Employees</w:t>
            </w:r>
          </w:p>
        </w:tc>
      </w:tr>
      <w:tr>
        <w:trPr/>
        <w:tc>
          <w:tcPr>
            <w:tcW w:w="1728" w:type="dxa"/>
            <w:tcBorders>
              <w:top w:val="single" w:sz="6" w:space="0" w:color="000000"/>
              <w:start w:val="single" w:sz="12" w:space="0" w:color="000000"/>
              <w:bottom w:val="single" w:sz="6"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b/>
                <w:spacing w:val="-2"/>
                <w:kern w:val="2"/>
              </w:rPr>
            </w:pPr>
            <w:r>
              <w:rPr>
                <w:rFonts w:cs="CG Times" w:ascii="CG Times" w:hAnsi="CG Times"/>
                <w:b/>
                <w:spacing w:val="-2"/>
                <w:kern w:val="2"/>
              </w:rPr>
              <w:t>Covered Employer</w:t>
            </w:r>
          </w:p>
        </w:tc>
        <w:tc>
          <w:tcPr>
            <w:tcW w:w="3022"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Employ 50 or more employees within 75 miles of employee's worksite for each working day during each of 20 or more calendar workweeks in the year in which the leave is requested or the preceding calendar year.</w:t>
            </w:r>
          </w:p>
        </w:tc>
        <w:tc>
          <w:tcPr>
            <w:tcW w:w="2909"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Employ 25 or more part</w:t>
              <w:noBreakHyphen/>
              <w:t>time or full-time employees during 20 or more calendar work weeks in the year in which leave is to be taken or in the preceding calendar year.</w:t>
            </w:r>
          </w:p>
        </w:tc>
        <w:tc>
          <w:tcPr>
            <w:tcW w:w="1821" w:type="dxa"/>
            <w:tcBorders>
              <w:top w:val="single" w:sz="6" w:space="0" w:color="000000"/>
              <w:start w:val="single" w:sz="6" w:space="0" w:color="000000"/>
              <w:bottom w:val="single" w:sz="6" w:space="0" w:color="000000"/>
              <w:end w:val="single" w:sz="12"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Oregon law covers more employers.</w:t>
            </w:r>
          </w:p>
        </w:tc>
      </w:tr>
      <w:tr>
        <w:trPr/>
        <w:tc>
          <w:tcPr>
            <w:tcW w:w="1728" w:type="dxa"/>
            <w:tcBorders>
              <w:top w:val="single" w:sz="6" w:space="0" w:color="000000"/>
              <w:start w:val="single" w:sz="12" w:space="0" w:color="000000"/>
              <w:bottom w:val="single" w:sz="6"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b/>
                <w:spacing w:val="-2"/>
                <w:kern w:val="2"/>
              </w:rPr>
            </w:pPr>
            <w:r>
              <w:rPr>
                <w:rFonts w:cs="CG Times" w:ascii="CG Times" w:hAnsi="CG Times"/>
                <w:b/>
                <w:spacing w:val="-2"/>
                <w:kern w:val="2"/>
              </w:rPr>
              <w:t>Eligible Employee</w:t>
            </w:r>
          </w:p>
        </w:tc>
        <w:tc>
          <w:tcPr>
            <w:tcW w:w="3022"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pPr>
            <w:r>
              <w:rPr>
                <w:rFonts w:cs="CG Times" w:ascii="CG Times" w:hAnsi="CG Times"/>
                <w:spacing w:val="-2"/>
                <w:kern w:val="2"/>
              </w:rPr>
              <w:t xml:space="preserve">Employed at least 12 months </w:t>
            </w:r>
            <w:r>
              <w:rPr>
                <w:rFonts w:cs="CG Times" w:ascii="CG Times" w:hAnsi="CG Times"/>
                <w:spacing w:val="-2"/>
                <w:kern w:val="2"/>
                <w:u w:val="single"/>
              </w:rPr>
              <w:t>and</w:t>
            </w:r>
            <w:r>
              <w:rPr>
                <w:rFonts w:cs="CG Times" w:ascii="CG Times" w:hAnsi="CG Times"/>
                <w:spacing w:val="-2"/>
                <w:kern w:val="2"/>
              </w:rPr>
              <w:t xml:space="preserve"> worked 1,250 hours in past 12 months.</w:t>
            </w:r>
          </w:p>
        </w:tc>
        <w:tc>
          <w:tcPr>
            <w:tcW w:w="2909"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Employed at least 180 days; work an average of 25 or more hours per week. 25-hour requirement does not apply to parental leave</w:t>
            </w:r>
          </w:p>
        </w:tc>
        <w:tc>
          <w:tcPr>
            <w:tcW w:w="1821" w:type="dxa"/>
            <w:tcBorders>
              <w:top w:val="single" w:sz="6" w:space="0" w:color="000000"/>
              <w:start w:val="single" w:sz="6" w:space="0" w:color="000000"/>
              <w:bottom w:val="single" w:sz="6" w:space="0" w:color="000000"/>
              <w:end w:val="single" w:sz="12"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Oregon law covers more employees.</w:t>
            </w:r>
          </w:p>
        </w:tc>
      </w:tr>
      <w:tr>
        <w:trPr/>
        <w:tc>
          <w:tcPr>
            <w:tcW w:w="1728" w:type="dxa"/>
            <w:tcBorders>
              <w:top w:val="single" w:sz="6" w:space="0" w:color="000000"/>
              <w:start w:val="single" w:sz="12"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b/>
                <w:spacing w:val="-2"/>
                <w:kern w:val="2"/>
              </w:rPr>
            </w:pPr>
            <w:r>
              <w:rPr>
                <w:rFonts w:cs="CG Times" w:ascii="CG Times" w:hAnsi="CG Times"/>
                <w:b/>
                <w:spacing w:val="-2"/>
                <w:kern w:val="2"/>
              </w:rPr>
              <w:t>Reasons for Leave</w:t>
            </w:r>
          </w:p>
        </w:tc>
        <w:tc>
          <w:tcPr>
            <w:tcW w:w="3022" w:type="dxa"/>
            <w:tcBorders>
              <w:top w:val="single" w:sz="6" w:space="0" w:color="000000"/>
              <w:start w:val="single" w:sz="6"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0"/>
              <w:rPr>
                <w:rFonts w:ascii="CG Times" w:hAnsi="CG Times" w:cs="CG Times"/>
                <w:spacing w:val="-2"/>
                <w:kern w:val="2"/>
              </w:rPr>
            </w:pPr>
            <w:r>
              <w:rPr>
                <w:rFonts w:cs="CG Times" w:ascii="CG Times" w:hAnsi="CG Times"/>
                <w:spacing w:val="-2"/>
                <w:kern w:val="2"/>
              </w:rPr>
              <w:t>1. Birth of child.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rPr>
                <w:rFonts w:ascii="CG Times" w:hAnsi="CG Times" w:cs="CG Times"/>
                <w:spacing w:val="-2"/>
                <w:kern w:val="2"/>
              </w:rPr>
            </w:pPr>
            <w:r>
              <w:rPr>
                <w:rFonts w:cs="CG Times" w:ascii="CG Times" w:hAnsi="CG Times"/>
                <w:spacing w:val="-2"/>
                <w:kern w:val="2"/>
              </w:rPr>
              <w:t>2. Placement of child with employee for adoption or foster care where child is under age 18, or older than 18 and incapable of self</w:t>
              <w:noBreakHyphen/>
              <w:t>care due to mental or physical disability.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rPr>
                <w:rFonts w:ascii="CG Times" w:hAnsi="CG Times" w:cs="CG Times"/>
                <w:spacing w:val="-2"/>
                <w:kern w:val="2"/>
              </w:rPr>
            </w:pPr>
            <w:r>
              <w:rPr>
                <w:rFonts w:cs="CG Times" w:ascii="CG Times" w:hAnsi="CG Times"/>
                <w:spacing w:val="-2"/>
                <w:kern w:val="2"/>
              </w:rPr>
              <w:t>3. Serious health condition of employee's spouse, parent or child.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0" w:after="54"/>
              <w:rPr>
                <w:rFonts w:ascii="CG Times" w:hAnsi="CG Times" w:cs="CG Times"/>
                <w:spacing w:val="-2"/>
                <w:kern w:val="2"/>
              </w:rPr>
            </w:pPr>
            <w:r>
              <w:rPr>
                <w:rFonts w:cs="CG Times" w:ascii="CG Times" w:hAnsi="CG Times"/>
                <w:spacing w:val="-2"/>
                <w:kern w:val="2"/>
              </w:rPr>
              <w:t>4. Serious health condition of the employee (defined to be when employee cannot perform any one of the essential functions of the employee's job).</w:t>
            </w:r>
          </w:p>
        </w:tc>
        <w:tc>
          <w:tcPr>
            <w:tcW w:w="2909" w:type="dxa"/>
            <w:tcBorders>
              <w:top w:val="single" w:sz="6" w:space="0" w:color="000000"/>
              <w:start w:val="single" w:sz="6"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0"/>
              <w:rPr>
                <w:rFonts w:ascii="CG Times" w:hAnsi="CG Times" w:cs="CG Times"/>
                <w:spacing w:val="-2"/>
                <w:kern w:val="2"/>
              </w:rPr>
            </w:pPr>
            <w:r>
              <w:rPr>
                <w:rFonts w:cs="CG Times" w:ascii="CG Times" w:hAnsi="CG Times"/>
                <w:spacing w:val="-2"/>
                <w:kern w:val="2"/>
              </w:rPr>
              <w:t>1. Care for infant, or newly adopted child or placed foster child under age 18, or older than 18 if incapable of self</w:t>
              <w:noBreakHyphen/>
              <w:t xml:space="preserve">care due to mental or physical disability.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0"/>
              <w:rPr>
                <w:rFonts w:ascii="CG Times" w:hAnsi="CG Times" w:cs="CG Times"/>
                <w:spacing w:val="-2"/>
                <w:kern w:val="2"/>
              </w:rPr>
            </w:pPr>
            <w:r>
              <w:rPr>
                <w:rFonts w:cs="CG Times" w:ascii="CG Times" w:hAnsi="CG Times"/>
                <w:spacing w:val="-2"/>
                <w:kern w:val="2"/>
              </w:rPr>
              <w:t>2. Care for a family member with serious health condition (spouse, same sex domestic partner, parent, parent</w:t>
              <w:noBreakHyphen/>
              <w:t xml:space="preserve">in-law, child).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0"/>
              <w:rPr>
                <w:rFonts w:ascii="CG Times" w:hAnsi="CG Times" w:cs="CG Times"/>
                <w:spacing w:val="-2"/>
                <w:kern w:val="2"/>
              </w:rPr>
            </w:pPr>
            <w:r>
              <w:rPr>
                <w:rFonts w:cs="CG Times" w:ascii="CG Times" w:hAnsi="CG Times"/>
                <w:spacing w:val="-2"/>
                <w:kern w:val="2"/>
              </w:rPr>
              <w:t xml:space="preserve">3. Serious health condition of employee (employee is unable to perform at least one essential function of position; includes illness, injury or condition related to pregnancy or childbirth).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0"/>
              <w:rPr>
                <w:rFonts w:ascii="CG Times" w:hAnsi="CG Times" w:cs="CG Times"/>
                <w:spacing w:val="-2"/>
                <w:kern w:val="2"/>
              </w:rPr>
            </w:pPr>
            <w:r>
              <w:rPr>
                <w:rFonts w:eastAsia="CG Times" w:cs="CG Times" w:ascii="CG Times" w:hAnsi="CG Times"/>
                <w:spacing w:val="-2"/>
                <w:kern w:val="2"/>
              </w:rPr>
              <w:t xml:space="preserve"> </w:t>
            </w:r>
            <w:r>
              <w:rPr>
                <w:rFonts w:cs="CG Times" w:ascii="CG Times" w:hAnsi="CG Times"/>
                <w:spacing w:val="-2"/>
                <w:kern w:val="2"/>
              </w:rPr>
              <w:t>4. Care for sick child.</w:t>
            </w:r>
          </w:p>
        </w:tc>
        <w:tc>
          <w:tcPr>
            <w:tcW w:w="1821" w:type="dxa"/>
            <w:tcBorders>
              <w:top w:val="single" w:sz="6" w:space="0" w:color="000000"/>
              <w:start w:val="single" w:sz="6" w:space="0" w:color="000000"/>
              <w:bottom w:val="single" w:sz="12" w:space="0" w:color="000000"/>
              <w:end w:val="single" w:sz="12"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Oregon law more generous.</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481" w:type="dxa"/>
        <w:jc w:val="center"/>
        <w:tblInd w:w="0" w:type="dxa"/>
        <w:tblLayout w:type="fixed"/>
        <w:tblCellMar>
          <w:top w:w="0" w:type="dxa"/>
          <w:start w:w="120" w:type="dxa"/>
          <w:bottom w:w="0" w:type="dxa"/>
          <w:end w:w="120" w:type="dxa"/>
        </w:tblCellMar>
      </w:tblPr>
      <w:tblGrid>
        <w:gridCol w:w="1715"/>
        <w:gridCol w:w="3018"/>
        <w:gridCol w:w="3007"/>
        <w:gridCol w:w="1741"/>
      </w:tblGrid>
      <w:tr>
        <w:trPr>
          <w:tblHeader w:val="true"/>
        </w:trPr>
        <w:tc>
          <w:tcPr>
            <w:tcW w:w="1715" w:type="dxa"/>
            <w:tcBorders>
              <w:top w:val="single" w:sz="12" w:space="0" w:color="000000"/>
              <w:start w:val="single" w:sz="12"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napToGrid w:val="false"/>
              <w:spacing w:before="90" w:after="54"/>
              <w:rPr>
                <w:rFonts w:ascii="CG Times" w:hAnsi="CG Times" w:cs="CG Times"/>
                <w:spacing w:val="-2"/>
                <w:kern w:val="2"/>
              </w:rPr>
            </w:pPr>
            <w:r>
              <w:rPr>
                <w:rFonts w:cs="CG Times" w:ascii="CG Times" w:hAnsi="CG Times"/>
                <w:spacing w:val="-2"/>
                <w:kern w:val="2"/>
              </w:rPr>
            </w:r>
          </w:p>
        </w:tc>
        <w:tc>
          <w:tcPr>
            <w:tcW w:w="3018" w:type="dxa"/>
            <w:tcBorders>
              <w:top w:val="single" w:sz="12" w:space="0" w:color="000000"/>
              <w:start w:val="single" w:sz="6"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jc w:val="center"/>
              <w:rPr>
                <w:rFonts w:ascii="CG Times" w:hAnsi="CG Times" w:cs="CG Times"/>
                <w:b/>
                <w:spacing w:val="-2"/>
                <w:kern w:val="2"/>
              </w:rPr>
            </w:pPr>
            <w:r>
              <w:rPr>
                <w:rFonts w:cs="CG Times" w:ascii="CG Times" w:hAnsi="CG Times"/>
                <w:b/>
                <w:spacing w:val="-2"/>
                <w:kern w:val="2"/>
              </w:rPr>
              <w:t>Federal Family and Medical Leave Act</w:t>
            </w:r>
          </w:p>
        </w:tc>
        <w:tc>
          <w:tcPr>
            <w:tcW w:w="3007" w:type="dxa"/>
            <w:tcBorders>
              <w:top w:val="single" w:sz="12" w:space="0" w:color="000000"/>
              <w:start w:val="single" w:sz="6"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jc w:val="center"/>
              <w:rPr>
                <w:rFonts w:ascii="CG Times" w:hAnsi="CG Times" w:cs="CG Times"/>
                <w:b/>
                <w:spacing w:val="-2"/>
                <w:kern w:val="2"/>
              </w:rPr>
            </w:pPr>
            <w:r>
              <w:rPr>
                <w:rFonts w:cs="CG Times" w:ascii="CG Times" w:hAnsi="CG Times"/>
                <w:b/>
                <w:spacing w:val="-2"/>
                <w:kern w:val="2"/>
              </w:rPr>
              <w:t>Oregon Family Leave Act</w:t>
            </w:r>
          </w:p>
        </w:tc>
        <w:tc>
          <w:tcPr>
            <w:tcW w:w="1741" w:type="dxa"/>
            <w:tcBorders>
              <w:top w:val="single" w:sz="12" w:space="0" w:color="000000"/>
              <w:start w:val="single" w:sz="6" w:space="0" w:color="000000"/>
              <w:bottom w:val="single" w:sz="12" w:space="0" w:color="000000"/>
              <w:end w:val="single" w:sz="12"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jc w:val="center"/>
              <w:rPr>
                <w:rFonts w:ascii="CG Times" w:hAnsi="CG Times" w:cs="CG Times"/>
                <w:b/>
                <w:spacing w:val="-2"/>
                <w:kern w:val="2"/>
              </w:rPr>
            </w:pPr>
            <w:r>
              <w:rPr>
                <w:rFonts w:cs="CG Times" w:ascii="CG Times" w:hAnsi="CG Times"/>
                <w:b/>
                <w:spacing w:val="-2"/>
                <w:kern w:val="2"/>
              </w:rPr>
              <w:t>Law Most Favorable to Employees</w:t>
            </w:r>
          </w:p>
        </w:tc>
      </w:tr>
      <w:tr>
        <w:trPr/>
        <w:tc>
          <w:tcPr>
            <w:tcW w:w="1715" w:type="dxa"/>
            <w:tcBorders>
              <w:start w:val="single" w:sz="12" w:space="0" w:color="000000"/>
              <w:bottom w:val="single" w:sz="6"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b/>
                <w:spacing w:val="-2"/>
                <w:kern w:val="2"/>
              </w:rPr>
            </w:pPr>
            <w:r>
              <w:rPr>
                <w:rFonts w:cs="CG Times" w:ascii="CG Times" w:hAnsi="CG Times"/>
                <w:b/>
                <w:spacing w:val="-2"/>
                <w:kern w:val="2"/>
              </w:rPr>
              <w:t>Length of Leave Available</w:t>
            </w:r>
          </w:p>
        </w:tc>
        <w:tc>
          <w:tcPr>
            <w:tcW w:w="3018" w:type="dxa"/>
            <w:tcBorders>
              <w:start w:val="single" w:sz="6" w:space="0" w:color="000000"/>
              <w:bottom w:val="single" w:sz="6"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0"/>
              <w:rPr>
                <w:rFonts w:ascii="CG Times" w:hAnsi="CG Times" w:cs="CG Times"/>
                <w:spacing w:val="-2"/>
                <w:kern w:val="2"/>
              </w:rPr>
            </w:pPr>
            <w:r>
              <w:rPr>
                <w:rFonts w:cs="CG Times" w:ascii="CG Times" w:hAnsi="CG Times"/>
                <w:spacing w:val="-2"/>
                <w:kern w:val="2"/>
              </w:rPr>
              <w:t>12 workweeks during any 12 month period.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rPr/>
            </w:pPr>
            <w:r>
              <w:rPr>
                <w:rFonts w:cs="CG Times" w:ascii="CG Times" w:hAnsi="CG Times"/>
                <w:spacing w:val="-2"/>
                <w:kern w:val="2"/>
              </w:rPr>
              <w:t xml:space="preserve">- "Intermittent leave" or reduced schedule permitted </w:t>
            </w:r>
            <w:r>
              <w:rPr>
                <w:rFonts w:cs="CG Times" w:ascii="CG Times" w:hAnsi="CG Times"/>
                <w:spacing w:val="-2"/>
                <w:kern w:val="2"/>
                <w:u w:val="single"/>
              </w:rPr>
              <w:t>without employer's approval</w:t>
            </w:r>
            <w:r>
              <w:rPr>
                <w:rFonts w:cs="CG Times" w:ascii="CG Times" w:hAnsi="CG Times"/>
                <w:spacing w:val="-2"/>
                <w:kern w:val="2"/>
              </w:rPr>
              <w:t xml:space="preserve"> when leave taken for care of sick family member or employee's own serious health condition.</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0" w:after="54"/>
              <w:rPr/>
            </w:pPr>
            <w:r>
              <w:rPr>
                <w:rFonts w:cs="CG Times" w:ascii="CG Times" w:hAnsi="CG Times"/>
                <w:spacing w:val="-2"/>
                <w:kern w:val="2"/>
              </w:rPr>
              <w:t xml:space="preserve">- Leave may be taken on an intermittent or reduced schedule basis for birth or adoption of child </w:t>
            </w:r>
            <w:r>
              <w:rPr>
                <w:rFonts w:cs="CG Times" w:ascii="CG Times" w:hAnsi="CG Times"/>
                <w:spacing w:val="-2"/>
                <w:kern w:val="2"/>
                <w:u w:val="single"/>
              </w:rPr>
              <w:t>if employer agrees</w:t>
            </w:r>
            <w:r>
              <w:rPr>
                <w:rFonts w:cs="CG Times" w:ascii="CG Times" w:hAnsi="CG Times"/>
                <w:spacing w:val="-2"/>
                <w:kern w:val="2"/>
              </w:rPr>
              <w:t>.</w:t>
            </w:r>
          </w:p>
        </w:tc>
        <w:tc>
          <w:tcPr>
            <w:tcW w:w="3007" w:type="dxa"/>
            <w:tcBorders>
              <w:start w:val="single" w:sz="6" w:space="0" w:color="000000"/>
              <w:bottom w:val="single" w:sz="6"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0"/>
              <w:rPr>
                <w:rFonts w:ascii="CG Times" w:hAnsi="CG Times" w:cs="CG Times"/>
                <w:spacing w:val="-2"/>
                <w:kern w:val="2"/>
              </w:rPr>
            </w:pPr>
            <w:r>
              <w:rPr>
                <w:rFonts w:cs="CG Times" w:ascii="CG Times" w:hAnsi="CG Times"/>
                <w:spacing w:val="-2"/>
                <w:kern w:val="2"/>
              </w:rPr>
              <w:t>12 weeks in any one year period.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rPr>
                <w:rFonts w:ascii="CG Times" w:hAnsi="CG Times" w:cs="CG Times"/>
                <w:spacing w:val="-2"/>
                <w:kern w:val="2"/>
              </w:rPr>
            </w:pPr>
            <w:r>
              <w:rPr>
                <w:rFonts w:cs="CG Times" w:ascii="CG Times" w:hAnsi="CG Times"/>
                <w:spacing w:val="-2"/>
                <w:kern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rPr>
                <w:rFonts w:ascii="CG Times" w:hAnsi="CG Times" w:cs="CG Times"/>
                <w:spacing w:val="-2"/>
                <w:kern w:val="2"/>
              </w:rPr>
            </w:pPr>
            <w:r>
              <w:rPr>
                <w:rFonts w:cs="CG Times" w:ascii="CG Times" w:hAnsi="CG Times"/>
                <w:spacing w:val="-2"/>
                <w:kern w:val="2"/>
              </w:rPr>
              <w:t xml:space="preserve">- Employee who uses up their original 12 weeks for parental leave entitled to an additional 12 weeks of leave to care for a sick child (but not a child with a serious health condition).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0" w:after="54"/>
              <w:rPr/>
            </w:pPr>
            <w:r>
              <w:rPr>
                <w:rFonts w:cs="CG Times" w:ascii="CG Times" w:hAnsi="CG Times"/>
                <w:spacing w:val="-2"/>
                <w:kern w:val="2"/>
              </w:rPr>
              <w:t xml:space="preserve">- "Intermittent leave" or reduced schedule permitted </w:t>
            </w:r>
            <w:r>
              <w:rPr>
                <w:rFonts w:cs="CG Times" w:ascii="CG Times" w:hAnsi="CG Times"/>
                <w:spacing w:val="-2"/>
                <w:kern w:val="2"/>
                <w:u w:val="single"/>
              </w:rPr>
              <w:t>if employer agrees</w:t>
            </w:r>
            <w:r>
              <w:rPr>
                <w:rFonts w:cs="CG Times" w:ascii="CG Times" w:hAnsi="CG Times"/>
                <w:spacing w:val="-2"/>
                <w:kern w:val="2"/>
              </w:rPr>
              <w: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0" w:after="54"/>
              <w:rPr>
                <w:rFonts w:ascii="CG Times" w:hAnsi="CG Times" w:cs="CG Times"/>
                <w:spacing w:val="-2"/>
                <w:kern w:val="2"/>
              </w:rPr>
            </w:pPr>
            <w:r>
              <w:rPr>
                <w:rFonts w:cs="CG Times" w:ascii="CG Times" w:hAnsi="CG Times"/>
                <w:spacing w:val="-2"/>
                <w:kern w:val="2"/>
              </w:rPr>
              <w:t>- Employee who uses up their original 12 weeks for serious health condition of the employee related to pregnancy entitled to 12 weeks of parental leave</w:t>
            </w:r>
          </w:p>
        </w:tc>
        <w:tc>
          <w:tcPr>
            <w:tcW w:w="1741" w:type="dxa"/>
            <w:tcBorders>
              <w:start w:val="single" w:sz="6" w:space="0" w:color="000000"/>
              <w:bottom w:val="single" w:sz="6" w:space="0" w:color="000000"/>
              <w:end w:val="single" w:sz="12"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pPr>
            <w:r>
              <w:rPr>
                <w:rFonts w:cs="CG Times" w:ascii="CG Times" w:hAnsi="CG Times"/>
                <w:spacing w:val="-2"/>
                <w:kern w:val="2"/>
              </w:rPr>
              <w:t>More leave available under Oregon law, but state leave will not always reduce FMLA 12 week entitlement (</w:t>
            </w:r>
            <w:r>
              <w:rPr>
                <w:rFonts w:cs="CG Times" w:ascii="CG Times" w:hAnsi="CG Times"/>
                <w:spacing w:val="-2"/>
                <w:kern w:val="2"/>
                <w:u w:val="single"/>
              </w:rPr>
              <w:t>i.e.</w:t>
            </w:r>
            <w:r>
              <w:rPr>
                <w:rFonts w:cs="CG Times" w:ascii="CG Times" w:hAnsi="CG Times"/>
                <w:spacing w:val="-2"/>
                <w:kern w:val="2"/>
              </w:rPr>
              <w:t>, leave to care for parent</w:t>
              <w:noBreakHyphen/>
              <w:t>in</w:t>
              <w:noBreakHyphen/>
              <w:t>law, sick child leave).</w:t>
            </w:r>
          </w:p>
        </w:tc>
      </w:tr>
      <w:tr>
        <w:trPr/>
        <w:tc>
          <w:tcPr>
            <w:tcW w:w="1715" w:type="dxa"/>
            <w:tcBorders>
              <w:top w:val="single" w:sz="6" w:space="0" w:color="000000"/>
              <w:start w:val="single" w:sz="12" w:space="0" w:color="000000"/>
              <w:bottom w:val="single" w:sz="6"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b/>
                <w:spacing w:val="-2"/>
                <w:kern w:val="2"/>
              </w:rPr>
            </w:pPr>
            <w:r>
              <w:rPr>
                <w:rFonts w:cs="CG Times" w:ascii="CG Times" w:hAnsi="CG Times"/>
                <w:b/>
                <w:spacing w:val="-2"/>
                <w:kern w:val="2"/>
              </w:rPr>
              <w:t>Reinstatement</w:t>
            </w:r>
          </w:p>
        </w:tc>
        <w:tc>
          <w:tcPr>
            <w:tcW w:w="3018"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Generally, an employee who completes a period of leave is to be returned either to the same position or to a position equivalent in pay, benefits and other terms and conditions of employment. No reinstatement required if employee's former position is eliminated.</w:t>
            </w:r>
          </w:p>
        </w:tc>
        <w:tc>
          <w:tcPr>
            <w:tcW w:w="3007"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Reinstatement to former job required. If former job has been eliminated, employee may be entitled to be reinstated to available equivalent position at eligible employee's former jobsite. If none, employer may offer equivalent job at jobsite 20 miles from former jobsite.</w:t>
            </w:r>
          </w:p>
        </w:tc>
        <w:tc>
          <w:tcPr>
            <w:tcW w:w="1741" w:type="dxa"/>
            <w:tcBorders>
              <w:top w:val="single" w:sz="6" w:space="0" w:color="000000"/>
              <w:start w:val="single" w:sz="6" w:space="0" w:color="000000"/>
              <w:bottom w:val="single" w:sz="6" w:space="0" w:color="000000"/>
              <w:end w:val="single" w:sz="12"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Oregon law grants employees better job protection than FMLA.</w:t>
            </w:r>
          </w:p>
        </w:tc>
      </w:tr>
      <w:tr>
        <w:trPr/>
        <w:tc>
          <w:tcPr>
            <w:tcW w:w="1715" w:type="dxa"/>
            <w:tcBorders>
              <w:top w:val="single" w:sz="6" w:space="0" w:color="000000"/>
              <w:start w:val="single" w:sz="12"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b/>
                <w:spacing w:val="-2"/>
                <w:kern w:val="2"/>
              </w:rPr>
            </w:pPr>
            <w:r>
              <w:rPr>
                <w:rFonts w:cs="CG Times" w:ascii="CG Times" w:hAnsi="CG Times"/>
                <w:b/>
                <w:spacing w:val="-2"/>
                <w:kern w:val="2"/>
              </w:rPr>
              <w:t>Notice</w:t>
            </w:r>
          </w:p>
        </w:tc>
        <w:tc>
          <w:tcPr>
            <w:tcW w:w="3018" w:type="dxa"/>
            <w:tcBorders>
              <w:top w:val="single" w:sz="6" w:space="0" w:color="000000"/>
              <w:start w:val="single" w:sz="6"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0"/>
              <w:rPr>
                <w:rFonts w:ascii="CG Times" w:hAnsi="CG Times" w:cs="CG Times"/>
                <w:spacing w:val="-2"/>
                <w:kern w:val="2"/>
              </w:rPr>
            </w:pPr>
            <w:r>
              <w:rPr>
                <w:rFonts w:cs="CG Times" w:ascii="CG Times" w:hAnsi="CG Times"/>
                <w:spacing w:val="-2"/>
                <w:kern w:val="2"/>
              </w:rPr>
              <w:t>30 days notice if the necessity for the leave is foreseeable. If unforeseeable, notice required as soon as practicable.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0" w:after="54"/>
              <w:rPr>
                <w:rFonts w:ascii="CG Times" w:hAnsi="CG Times" w:cs="CG Times"/>
                <w:spacing w:val="-2"/>
                <w:kern w:val="2"/>
              </w:rPr>
            </w:pPr>
            <w:r>
              <w:rPr>
                <w:rFonts w:cs="CG Times" w:ascii="CG Times" w:hAnsi="CG Times"/>
                <w:spacing w:val="-2"/>
                <w:kern w:val="2"/>
              </w:rPr>
              <w:t>- If employee fails to comply with notice requirement, employer may penalize employee by delaying the leave for up to 30 days for foreseeable leave (until notice requirement is met).</w:t>
            </w:r>
          </w:p>
        </w:tc>
        <w:tc>
          <w:tcPr>
            <w:tcW w:w="3007" w:type="dxa"/>
            <w:tcBorders>
              <w:top w:val="single" w:sz="6" w:space="0" w:color="000000"/>
              <w:start w:val="single" w:sz="6"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pPr>
            <w:r>
              <w:rPr>
                <w:rFonts w:cs="CG Times" w:ascii="CG Times" w:hAnsi="CG Times"/>
                <w:spacing w:val="-2"/>
                <w:kern w:val="2"/>
              </w:rPr>
              <w:t xml:space="preserve">30 days notice if necessity for the leave is foreseeable. If unforeseeable, the eligible employee must give oral notice within 24 hours of the commencement of the leave </w:t>
            </w:r>
            <w:r>
              <w:rPr>
                <w:rFonts w:cs="CG Times" w:ascii="CG Times" w:hAnsi="CG Times"/>
                <w:spacing w:val="-2"/>
                <w:kern w:val="2"/>
                <w:u w:val="single"/>
              </w:rPr>
              <w:t>and</w:t>
            </w:r>
            <w:r>
              <w:rPr>
                <w:rFonts w:cs="CG Times" w:ascii="CG Times" w:hAnsi="CG Times"/>
                <w:spacing w:val="-2"/>
                <w:kern w:val="2"/>
              </w:rPr>
              <w:t xml:space="preserve"> if the employer requires by policy or otherwise must provide written notice within 3 days of the eligible employee's return to work. If the eligible employee fails to give proper notice, employer may reduce total leave to 9 weeks and/or may impose discipline in accordance with uniformly applied policy.</w:t>
            </w:r>
          </w:p>
        </w:tc>
        <w:tc>
          <w:tcPr>
            <w:tcW w:w="1741" w:type="dxa"/>
            <w:tcBorders>
              <w:top w:val="single" w:sz="6" w:space="0" w:color="000000"/>
              <w:start w:val="single" w:sz="6" w:space="0" w:color="000000"/>
              <w:bottom w:val="single" w:sz="12" w:space="0" w:color="000000"/>
              <w:end w:val="single" w:sz="12"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 xml:space="preserve">Federal law more beneficial for employees - employer does not have ability to discipline employee or reduce leave entitlement if employee fails to provide proper notice.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480" w:type="dxa"/>
        <w:jc w:val="center"/>
        <w:tblInd w:w="0" w:type="dxa"/>
        <w:tblLayout w:type="fixed"/>
        <w:tblCellMar>
          <w:top w:w="0" w:type="dxa"/>
          <w:start w:w="120" w:type="dxa"/>
          <w:bottom w:w="0" w:type="dxa"/>
          <w:end w:w="120" w:type="dxa"/>
        </w:tblCellMar>
      </w:tblPr>
      <w:tblGrid>
        <w:gridCol w:w="1539"/>
        <w:gridCol w:w="3086"/>
        <w:gridCol w:w="3075"/>
        <w:gridCol w:w="1780"/>
      </w:tblGrid>
      <w:tr>
        <w:trPr>
          <w:tblHeader w:val="true"/>
        </w:trPr>
        <w:tc>
          <w:tcPr>
            <w:tcW w:w="1539" w:type="dxa"/>
            <w:tcBorders>
              <w:top w:val="single" w:sz="12" w:space="0" w:color="000000"/>
              <w:start w:val="single" w:sz="12"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napToGrid w:val="false"/>
              <w:spacing w:before="90" w:after="54"/>
              <w:rPr>
                <w:rFonts w:ascii="CG Times" w:hAnsi="CG Times" w:cs="CG Times"/>
                <w:spacing w:val="-2"/>
                <w:kern w:val="2"/>
              </w:rPr>
            </w:pPr>
            <w:r>
              <w:rPr>
                <w:rFonts w:cs="CG Times" w:ascii="CG Times" w:hAnsi="CG Times"/>
                <w:spacing w:val="-2"/>
                <w:kern w:val="2"/>
              </w:rPr>
            </w:r>
          </w:p>
        </w:tc>
        <w:tc>
          <w:tcPr>
            <w:tcW w:w="3086" w:type="dxa"/>
            <w:tcBorders>
              <w:top w:val="single" w:sz="12" w:space="0" w:color="000000"/>
              <w:start w:val="single" w:sz="6"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jc w:val="center"/>
              <w:rPr>
                <w:rFonts w:ascii="CG Times" w:hAnsi="CG Times" w:cs="CG Times"/>
                <w:b/>
                <w:spacing w:val="-2"/>
                <w:kern w:val="2"/>
              </w:rPr>
            </w:pPr>
            <w:r>
              <w:rPr>
                <w:rFonts w:cs="CG Times" w:ascii="CG Times" w:hAnsi="CG Times"/>
                <w:b/>
                <w:spacing w:val="-2"/>
                <w:kern w:val="2"/>
              </w:rPr>
              <w:t>Federal Family and Medical Leave Act</w:t>
            </w:r>
          </w:p>
        </w:tc>
        <w:tc>
          <w:tcPr>
            <w:tcW w:w="3075" w:type="dxa"/>
            <w:tcBorders>
              <w:top w:val="single" w:sz="12" w:space="0" w:color="000000"/>
              <w:start w:val="single" w:sz="6"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jc w:val="center"/>
              <w:rPr>
                <w:rFonts w:ascii="CG Times" w:hAnsi="CG Times" w:cs="CG Times"/>
                <w:b/>
                <w:spacing w:val="-2"/>
                <w:kern w:val="2"/>
              </w:rPr>
            </w:pPr>
            <w:r>
              <w:rPr>
                <w:rFonts w:cs="CG Times" w:ascii="CG Times" w:hAnsi="CG Times"/>
                <w:b/>
                <w:spacing w:val="-2"/>
                <w:kern w:val="2"/>
              </w:rPr>
              <w:t>Oregon Family Leave Act</w:t>
            </w:r>
          </w:p>
        </w:tc>
        <w:tc>
          <w:tcPr>
            <w:tcW w:w="1780" w:type="dxa"/>
            <w:tcBorders>
              <w:top w:val="single" w:sz="12" w:space="0" w:color="000000"/>
              <w:start w:val="single" w:sz="6" w:space="0" w:color="000000"/>
              <w:bottom w:val="single" w:sz="12" w:space="0" w:color="000000"/>
              <w:end w:val="single" w:sz="12"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jc w:val="center"/>
              <w:rPr>
                <w:rFonts w:ascii="CG Times" w:hAnsi="CG Times" w:cs="CG Times"/>
                <w:b/>
                <w:spacing w:val="-2"/>
                <w:kern w:val="2"/>
              </w:rPr>
            </w:pPr>
            <w:r>
              <w:rPr>
                <w:rFonts w:cs="CG Times" w:ascii="CG Times" w:hAnsi="CG Times"/>
                <w:b/>
                <w:spacing w:val="-2"/>
                <w:kern w:val="2"/>
              </w:rPr>
              <w:t>Law Most Favorable to Employees</w:t>
            </w:r>
          </w:p>
        </w:tc>
      </w:tr>
      <w:tr>
        <w:trPr/>
        <w:tc>
          <w:tcPr>
            <w:tcW w:w="1539" w:type="dxa"/>
            <w:tcBorders>
              <w:top w:val="single" w:sz="6" w:space="0" w:color="000000"/>
              <w:start w:val="single" w:sz="12" w:space="0" w:color="000000"/>
              <w:bottom w:val="single" w:sz="6" w:space="0" w:color="000000"/>
              <w:end w:val="single" w:sz="6" w:space="0" w:color="000000"/>
            </w:tcBorders>
          </w:tcPr>
          <w:p>
            <w:pPr>
              <w:pStyle w:val="Heading2"/>
              <w:spacing w:before="90" w:after="54"/>
              <w:ind w:hanging="0" w:start="0"/>
              <w:rPr/>
            </w:pPr>
            <w:r>
              <w:rPr/>
              <w:t>Certification</w:t>
            </w:r>
          </w:p>
        </w:tc>
        <w:tc>
          <w:tcPr>
            <w:tcW w:w="3086"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0"/>
              <w:rPr>
                <w:rFonts w:ascii="CG Times" w:hAnsi="CG Times" w:cs="CG Times"/>
                <w:spacing w:val="-2"/>
                <w:kern w:val="2"/>
              </w:rPr>
            </w:pPr>
            <w:r>
              <w:rPr>
                <w:rFonts w:cs="CG Times" w:ascii="CG Times" w:hAnsi="CG Times"/>
                <w:spacing w:val="-2"/>
                <w:kern w:val="2"/>
              </w:rPr>
              <w:t>Employer may require certification from health care provider. Can require second opinion at employer's own expense if validity of the certification is doubtful. Third opinion conclusive.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rPr>
                <w:rFonts w:ascii="CG Times" w:hAnsi="CG Times" w:cs="CG Times"/>
                <w:spacing w:val="-2"/>
                <w:kern w:val="2"/>
              </w:rPr>
            </w:pPr>
            <w:r>
              <w:rPr>
                <w:rFonts w:cs="CG Times" w:ascii="CG Times" w:hAnsi="CG Times"/>
                <w:spacing w:val="-2"/>
                <w:kern w:val="2"/>
              </w:rPr>
              <w:t>- Employer not entitled to a second or third opinion on a recertification or fitness for duty certification.</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0" w:after="54"/>
              <w:rPr>
                <w:rFonts w:ascii="CG Times" w:hAnsi="CG Times" w:cs="CG Times"/>
                <w:spacing w:val="-2"/>
                <w:kern w:val="2"/>
              </w:rPr>
            </w:pPr>
            <w:r>
              <w:rPr>
                <w:rFonts w:cs="CG Times" w:ascii="CG Times" w:hAnsi="CG Times"/>
                <w:spacing w:val="-2"/>
                <w:kern w:val="2"/>
              </w:rPr>
              <w:t>- If employee elects or employer requires substitution of accrued sick leave for unpaid leave, employer must follow the medical certification requirements of its sick leave policy if these are less onerous than the FMLA rules on medical certification.</w:t>
            </w:r>
          </w:p>
        </w:tc>
        <w:tc>
          <w:tcPr>
            <w:tcW w:w="3075"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s>
              <w:spacing w:before="90" w:after="0"/>
              <w:rPr>
                <w:rFonts w:ascii="CG Times" w:hAnsi="CG Times" w:cs="CG Times"/>
                <w:spacing w:val="-2"/>
                <w:kern w:val="2"/>
              </w:rPr>
            </w:pPr>
            <w:r>
              <w:rPr>
                <w:rFonts w:cs="CG Times" w:ascii="CG Times" w:hAnsi="CG Times"/>
                <w:spacing w:val="-2"/>
                <w:kern w:val="2"/>
              </w:rPr>
              <w:t>None may be required for parental leave. Employer may require medical verification from healthcare provider for serious health condition leave. Employer request must be in writing. Employer may require second opinion and designate the healthcare provider. If two opinions in conflict, employer may require the two healthcare providers designate a third. Third opinion conclusive. Employer must pay the cost of the medical verification not covered by insurance or other benefit plan.</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0" w:after="54"/>
              <w:rPr/>
            </w:pPr>
            <w:r>
              <w:rPr>
                <w:rFonts w:cs="CG Times" w:ascii="CG Times" w:hAnsi="CG Times"/>
                <w:spacing w:val="-2"/>
                <w:kern w:val="2"/>
              </w:rPr>
              <w:t xml:space="preserve">- </w:t>
            </w:r>
            <w:r>
              <w:rPr>
                <w:rFonts w:cs="CG Times" w:ascii="CG Times" w:hAnsi="CG Times"/>
                <w:spacing w:val="-2"/>
                <w:kern w:val="2"/>
                <w:u w:val="single"/>
              </w:rPr>
              <w:t>Sick child rule</w:t>
            </w:r>
            <w:r>
              <w:rPr>
                <w:rFonts w:cs="CG Times" w:ascii="CG Times" w:hAnsi="CG Times"/>
                <w:spacing w:val="-2"/>
                <w:kern w:val="2"/>
              </w:rPr>
              <w:t>. Employer may not request medical certification until after eligible employee uses 3 days of leave to care for sick child, then employer must pay "out of pocket expenses" for certification. No second opinion available.</w:t>
            </w:r>
          </w:p>
        </w:tc>
        <w:tc>
          <w:tcPr>
            <w:tcW w:w="1780" w:type="dxa"/>
            <w:tcBorders>
              <w:top w:val="single" w:sz="6" w:space="0" w:color="000000"/>
              <w:start w:val="single" w:sz="6" w:space="0" w:color="000000"/>
              <w:bottom w:val="single" w:sz="6" w:space="0" w:color="000000"/>
              <w:end w:val="single" w:sz="12"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 xml:space="preserve">Under Oregon law employer enjoys greater rights to medical certification; however, Oregon law requires all employer requests for certification be made in writing. </w:t>
            </w:r>
          </w:p>
        </w:tc>
      </w:tr>
      <w:tr>
        <w:trPr/>
        <w:tc>
          <w:tcPr>
            <w:tcW w:w="1539" w:type="dxa"/>
            <w:tcBorders>
              <w:top w:val="single" w:sz="6" w:space="0" w:color="000000"/>
              <w:start w:val="single" w:sz="12"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0"/>
              <w:rPr>
                <w:rFonts w:ascii="CG Times" w:hAnsi="CG Times" w:cs="CG Times"/>
                <w:b/>
                <w:spacing w:val="-2"/>
                <w:kern w:val="2"/>
              </w:rPr>
            </w:pPr>
            <w:r>
              <w:rPr>
                <w:rFonts w:cs="CG Times" w:ascii="CG Times" w:hAnsi="CG Times"/>
                <w:b/>
                <w:spacing w:val="-2"/>
                <w:kern w:val="2"/>
              </w:rPr>
              <w:t>Paid or Unpaid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0" w:after="54"/>
              <w:rPr>
                <w:rFonts w:ascii="CG Times" w:hAnsi="CG Times" w:cs="CG Times"/>
                <w:b/>
                <w:spacing w:val="-2"/>
                <w:kern w:val="2"/>
              </w:rPr>
            </w:pPr>
            <w:r>
              <w:rPr>
                <w:rFonts w:cs="CG Times" w:ascii="CG Times" w:hAnsi="CG Times"/>
                <w:b/>
                <w:spacing w:val="-2"/>
                <w:kern w:val="2"/>
              </w:rPr>
            </w:r>
          </w:p>
        </w:tc>
        <w:tc>
          <w:tcPr>
            <w:tcW w:w="3086" w:type="dxa"/>
            <w:tcBorders>
              <w:top w:val="single" w:sz="6" w:space="0" w:color="000000"/>
              <w:start w:val="single" w:sz="6"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Unpaid; employees can be required to exhaust accrued vacation and sick leave. Employers may elect to substitute accrued vacation and sick leave. Sick leave may only be used in accordance with the employer's policy.</w:t>
            </w:r>
          </w:p>
        </w:tc>
        <w:tc>
          <w:tcPr>
            <w:tcW w:w="3075" w:type="dxa"/>
            <w:tcBorders>
              <w:top w:val="single" w:sz="6" w:space="0" w:color="000000"/>
              <w:start w:val="single" w:sz="6" w:space="0" w:color="000000"/>
              <w:bottom w:val="single" w:sz="12" w:space="0" w:color="000000"/>
              <w:end w:val="single" w:sz="6"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pPr>
            <w:r>
              <w:rPr>
                <w:rFonts w:cs="CG Times" w:ascii="CG Times" w:hAnsi="CG Times"/>
                <w:spacing w:val="-2"/>
                <w:kern w:val="2"/>
              </w:rPr>
              <w:t xml:space="preserve">Unpaid. Employee entitled to use accrued vacation leave or any paid leave the employer offers as vacation leave </w:t>
            </w:r>
            <w:r>
              <w:rPr>
                <w:rFonts w:cs="CG Times" w:ascii="CG Times" w:hAnsi="CG Times"/>
                <w:spacing w:val="-2"/>
                <w:kern w:val="2"/>
                <w:u w:val="single"/>
              </w:rPr>
              <w:t>except</w:t>
            </w:r>
            <w:r>
              <w:rPr>
                <w:rFonts w:cs="CG Times" w:ascii="CG Times" w:hAnsi="CG Times"/>
                <w:spacing w:val="-2"/>
                <w:kern w:val="2"/>
              </w:rPr>
              <w:t xml:space="preserve"> the eligible employee entitled to use sick leave if consistent with employer's policy or practice.</w:t>
            </w:r>
          </w:p>
        </w:tc>
        <w:tc>
          <w:tcPr>
            <w:tcW w:w="1780" w:type="dxa"/>
            <w:tcBorders>
              <w:top w:val="single" w:sz="6" w:space="0" w:color="000000"/>
              <w:start w:val="single" w:sz="6" w:space="0" w:color="000000"/>
              <w:bottom w:val="single" w:sz="12" w:space="0" w:color="000000"/>
              <w:end w:val="single" w:sz="12"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Oregon law more generous; employees are entitled to use sick leave for parental leave and their own serious health condition (including pregnancy and prenatal care).</w:t>
            </w:r>
          </w:p>
        </w:tc>
      </w:tr>
    </w:tbl>
    <w:p>
      <w:pPr>
        <w:pStyle w:val="Normal"/>
        <w:rPr/>
      </w:pPr>
      <w:r>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481" w:type="dxa"/>
        <w:jc w:val="center"/>
        <w:tblInd w:w="0" w:type="dxa"/>
        <w:tblLayout w:type="fixed"/>
        <w:tblCellMar>
          <w:top w:w="0" w:type="dxa"/>
          <w:start w:w="120" w:type="dxa"/>
          <w:bottom w:w="0" w:type="dxa"/>
          <w:end w:w="120" w:type="dxa"/>
        </w:tblCellMar>
      </w:tblPr>
      <w:tblGrid>
        <w:gridCol w:w="1715"/>
        <w:gridCol w:w="3018"/>
        <w:gridCol w:w="3007"/>
        <w:gridCol w:w="1741"/>
      </w:tblGrid>
      <w:tr>
        <w:trPr>
          <w:tblHeader w:val="true"/>
        </w:trPr>
        <w:tc>
          <w:tcPr>
            <w:tcW w:w="171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napToGrid w:val="false"/>
              <w:spacing w:before="90" w:after="54"/>
              <w:rPr>
                <w:rFonts w:ascii="CG Times" w:hAnsi="CG Times" w:cs="CG Times"/>
                <w:spacing w:val="-2"/>
                <w:kern w:val="2"/>
              </w:rPr>
            </w:pPr>
            <w:r>
              <w:rPr>
                <w:rFonts w:cs="CG Times" w:ascii="CG Times" w:hAnsi="CG Times"/>
                <w:spacing w:val="-2"/>
                <w:kern w:val="2"/>
              </w:rPr>
            </w:r>
          </w:p>
        </w:tc>
        <w:tc>
          <w:tcPr>
            <w:tcW w:w="3018"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jc w:val="center"/>
              <w:rPr>
                <w:rFonts w:ascii="CG Times" w:hAnsi="CG Times" w:cs="CG Times"/>
                <w:b/>
                <w:spacing w:val="-2"/>
                <w:kern w:val="2"/>
              </w:rPr>
            </w:pPr>
            <w:r>
              <w:rPr>
                <w:rFonts w:cs="CG Times" w:ascii="CG Times" w:hAnsi="CG Times"/>
                <w:b/>
                <w:spacing w:val="-2"/>
                <w:kern w:val="2"/>
              </w:rPr>
              <w:t>Federal Family and Medical Leave Act</w:t>
            </w:r>
          </w:p>
        </w:tc>
        <w:tc>
          <w:tcPr>
            <w:tcW w:w="300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jc w:val="center"/>
              <w:rPr>
                <w:rFonts w:ascii="CG Times" w:hAnsi="CG Times" w:cs="CG Times"/>
                <w:b/>
                <w:spacing w:val="-2"/>
                <w:kern w:val="2"/>
              </w:rPr>
            </w:pPr>
            <w:r>
              <w:rPr>
                <w:rFonts w:cs="CG Times" w:ascii="CG Times" w:hAnsi="CG Times"/>
                <w:b/>
                <w:spacing w:val="-2"/>
                <w:kern w:val="2"/>
              </w:rPr>
              <w:t>Oregon Family Leave Act</w:t>
            </w:r>
          </w:p>
        </w:tc>
        <w:tc>
          <w:tcPr>
            <w:tcW w:w="174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jc w:val="center"/>
              <w:rPr>
                <w:rFonts w:ascii="CG Times" w:hAnsi="CG Times" w:cs="CG Times"/>
                <w:b/>
                <w:spacing w:val="-2"/>
                <w:kern w:val="2"/>
              </w:rPr>
            </w:pPr>
            <w:r>
              <w:rPr>
                <w:rFonts w:cs="CG Times" w:ascii="CG Times" w:hAnsi="CG Times"/>
                <w:b/>
                <w:spacing w:val="-2"/>
                <w:kern w:val="2"/>
              </w:rPr>
              <w:t>Law Most Favorable to Employees</w:t>
            </w:r>
          </w:p>
        </w:tc>
      </w:tr>
      <w:tr>
        <w:trPr/>
        <w:tc>
          <w:tcPr>
            <w:tcW w:w="171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b/>
                <w:spacing w:val="-2"/>
                <w:kern w:val="2"/>
              </w:rPr>
            </w:pPr>
            <w:r>
              <w:rPr>
                <w:rFonts w:cs="CG Times" w:ascii="CG Times" w:hAnsi="CG Times"/>
                <w:b/>
                <w:spacing w:val="-2"/>
                <w:kern w:val="2"/>
              </w:rPr>
              <w:t>Benefit Continuation</w:t>
            </w:r>
          </w:p>
        </w:tc>
        <w:tc>
          <w:tcPr>
            <w:tcW w:w="3018" w:type="dxa"/>
            <w:tcBorders>
              <w:top w:val="single" w:sz="4" w:space="0" w:color="000000"/>
              <w:start w:val="single" w:sz="4" w:space="0" w:color="000000"/>
              <w:bottom w:val="single" w:sz="4" w:space="0" w:color="000000"/>
              <w:end w:val="single" w:sz="4" w:space="0" w:color="000000"/>
            </w:tcBorders>
          </w:tcPr>
          <w:p>
            <w:pPr>
              <w:pStyle w:val="Footer"/>
              <w:tabs>
                <w:tab w:val="clear" w:pos="8640"/>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Employer must maintain employee's coverage under any group health plan on the same conditions as coverage would have been provided if the employee had been continuously employed during the entire leave period. Any plan changes (e.g., coverage, premiums, deductible, etc.) apply to employee on leave.</w:t>
            </w:r>
          </w:p>
        </w:tc>
        <w:tc>
          <w:tcPr>
            <w:tcW w:w="300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Employee eligible to continue benefits at his or her expense during leave (under COBRA).</w:t>
            </w:r>
          </w:p>
        </w:tc>
        <w:tc>
          <w:tcPr>
            <w:tcW w:w="174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Federal leave more generous in that employer required to maintain benefit coverage during FMLA</w:t>
              <w:noBreakHyphen/>
              <w:t xml:space="preserve">qualified leave. Note that when the employee's leave is protected under state but not Federal law, benefits need not be continued during leave and, if voluntarily continued, will not offset the right to benefit continuation during FMLA leave. </w:t>
            </w:r>
          </w:p>
        </w:tc>
      </w:tr>
      <w:tr>
        <w:trPr/>
        <w:tc>
          <w:tcPr>
            <w:tcW w:w="171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b/>
                <w:spacing w:val="-2"/>
                <w:kern w:val="2"/>
              </w:rPr>
            </w:pPr>
            <w:r>
              <w:rPr>
                <w:rFonts w:cs="CG Times" w:ascii="CG Times" w:hAnsi="CG Times"/>
                <w:b/>
                <w:spacing w:val="-2"/>
                <w:kern w:val="2"/>
              </w:rPr>
              <w:t>Recordkeeping/ Poster</w:t>
            </w:r>
          </w:p>
        </w:tc>
        <w:tc>
          <w:tcPr>
            <w:tcW w:w="3018"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FMLA requires employers to make, keep and preserve records regarding compliance. Posted notice required. Employers who willfully violate the posting requirement may be assessed a civil penalty not to exceed $100 for each separate offense.</w:t>
            </w:r>
          </w:p>
        </w:tc>
        <w:tc>
          <w:tcPr>
            <w:tcW w:w="300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Posted notice required. If employer fails to post notice employer cannot discipline employee, even under uniformly applied policy, for failure to give notice of need for foreseeable leave.</w:t>
            </w:r>
          </w:p>
        </w:tc>
        <w:tc>
          <w:tcPr>
            <w:tcW w:w="174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Federal and Oregon law comparable.</w:t>
            </w:r>
          </w:p>
        </w:tc>
      </w:tr>
      <w:tr>
        <w:trPr/>
        <w:tc>
          <w:tcPr>
            <w:tcW w:w="171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b/>
                <w:spacing w:val="-2"/>
                <w:kern w:val="2"/>
              </w:rPr>
            </w:pPr>
            <w:r>
              <w:rPr>
                <w:rFonts w:cs="CG Times" w:ascii="CG Times" w:hAnsi="CG Times"/>
                <w:b/>
                <w:spacing w:val="-2"/>
                <w:kern w:val="2"/>
              </w:rPr>
              <w:t>Enforcement</w:t>
            </w:r>
          </w:p>
        </w:tc>
        <w:tc>
          <w:tcPr>
            <w:tcW w:w="3018"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Department of Labor; suit in federal or state court. Aggrieved individuals are entitled to sue for equitable and monetary relief (includes actual damages plus percentage of sum equal to 12 weeks wages as liquidated damages.)</w:t>
            </w:r>
          </w:p>
        </w:tc>
        <w:tc>
          <w:tcPr>
            <w:tcW w:w="300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Oregon Bureau of Labor and Industries -- Civil Rights Division; suit in state Circuit Court. Aggrieved individual entitled to sue for equitable relief, attorney fees and costs.</w:t>
            </w:r>
          </w:p>
        </w:tc>
        <w:tc>
          <w:tcPr>
            <w:tcW w:w="174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rPr>
                <w:rFonts w:ascii="CG Times" w:hAnsi="CG Times" w:cs="CG Times"/>
                <w:spacing w:val="-2"/>
                <w:kern w:val="2"/>
              </w:rPr>
            </w:pPr>
            <w:r>
              <w:rPr>
                <w:rFonts w:cs="CG Times" w:ascii="CG Times" w:hAnsi="CG Times"/>
                <w:spacing w:val="-2"/>
                <w:kern w:val="2"/>
              </w:rPr>
              <w:t>More damages available to employee for violation under Federal law.</w:t>
            </w:r>
          </w:p>
        </w:tc>
      </w:tr>
    </w:tbl>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jc w:val="both"/>
        <w:rPr>
          <w:spacing w:val="-2"/>
          <w:kern w:val="2"/>
        </w:rPr>
      </w:pPr>
      <w:r>
        <w:rPr>
          <w:spacing w:val="-2"/>
          <w:kern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jc w:val="both"/>
        <w:rPr>
          <w:rFonts w:ascii="AGaramond" w:hAnsi="AGaramond" w:cs="AGaramond"/>
          <w:spacing w:val="-2"/>
          <w:kern w:val="2"/>
        </w:rPr>
      </w:pPr>
      <w:r>
        <w:rPr>
          <w:rFonts w:cs="AGaramond" w:ascii="AGaramond" w:hAnsi="AGaramond"/>
          <w:spacing w:val="-2"/>
          <w:kern w:val="2"/>
        </w:rPr>
        <w:t>© 2000 Barran Liebman LLP</w:t>
      </w:r>
    </w:p>
    <w:sectPr>
      <w:footerReference w:type="default" r:id="rId3"/>
      <w:type w:val="nextPage"/>
      <w:pgSz w:w="12240" w:h="15840"/>
      <w:pgMar w:left="1440" w:right="1440"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A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Garamond" w:ascii="AGaramond" w:hAnsi="AGaramond"/>
      </w:rPr>
      <w:t>Page</w:t>
    </w:r>
    <w:r>
      <w:rPr>
        <w:rStyle w:val="PageNumber"/>
        <w:rFonts w:cs="AGaramond" w:ascii="AGaramond" w:hAnsi="AGaramond"/>
      </w:rPr>
      <w:t xml:space="preserve"> </w:t>
    </w:r>
    <w:r>
      <w:rPr>
        <w:rStyle w:val="PageNumber"/>
        <w:rFonts w:cs="AGaramond" w:ascii="AGaramond" w:hAnsi="AGaramond"/>
      </w:rPr>
      <w:fldChar w:fldCharType="begin"/>
    </w:r>
    <w:r>
      <w:rPr>
        <w:rStyle w:val="PageNumber"/>
        <w:rFonts w:cs="AGaramond" w:ascii="AGaramond" w:hAnsi="AGaramond"/>
      </w:rPr>
      <w:instrText xml:space="preserve"> PAGE </w:instrText>
    </w:r>
    <w:r>
      <w:rPr>
        <w:rStyle w:val="PageNumber"/>
        <w:rFonts w:cs="AGaramond" w:ascii="AGaramond" w:hAnsi="AGaramond"/>
      </w:rPr>
      <w:fldChar w:fldCharType="separate"/>
    </w:r>
    <w:r>
      <w:rPr>
        <w:rStyle w:val="PageNumber"/>
        <w:rFonts w:cs="AGaramond" w:ascii="AGaramond" w:hAnsi="AGaramond"/>
      </w:rPr>
      <w:t>4</w:t>
    </w:r>
    <w:r>
      <w:rPr>
        <w:rStyle w:val="PageNumber"/>
        <w:rFonts w:cs="AGaramond" w:ascii="AGaramond" w:hAnsi="AGaramond"/>
      </w:rPr>
      <w:fldChar w:fldCharType="end"/>
    </w:r>
    <w:r>
      <w:rPr>
        <w:rStyle w:val="PageNumber"/>
        <w:rFonts w:cs="AGaramond" w:ascii="AGaramond" w:hAnsi="AGaramond"/>
      </w:rPr>
      <w:t xml:space="preserve"> of 4</w:t>
    </w:r>
    <w:r>
      <mc:AlternateContent>
        <mc:Choice Requires="wps">
          <w:drawing>
            <wp:anchor behindDoc="0" distT="0" distB="0" distL="0" distR="0" simplePos="0" locked="0" layoutInCell="0" allowOverlap="1" relativeHeight="6">
              <wp:simplePos x="0" y="0"/>
              <wp:positionH relativeFrom="page">
                <wp:posOffset>1006475</wp:posOffset>
              </wp:positionH>
              <wp:positionV relativeFrom="paragraph">
                <wp:posOffset>-302260</wp:posOffset>
              </wp:positionV>
              <wp:extent cx="5943600"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5943600" cy="293370"/>
                      </a:xfrm>
                      <a:prstGeom prst="rect"/>
                      <a:solidFill>
                        <a:srgbClr val="FFFFFF">
                          <a:alpha val="0"/>
                        </a:srgbClr>
                      </a:solidFill>
                    </wps:spPr>
                    <wps:txbx>
                      <w:txbxContent>
                        <w:p>
                          <w:pPr>
                            <w:pStyle w:val="Foo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3.1pt;mso-wrap-distance-left:0pt;mso-wrap-distance-right:0pt;mso-wrap-distance-top:0pt;mso-wrap-distance-bottom:0pt;margin-top:-23.8pt;mso-position-vertical-relative:text;margin-left:79.25pt;mso-position-horizontal-relative:page">
              <v:fill opacity="0f"/>
              <v:textbox inset="0in,0in,0in,0in">
                <w:txbxContent>
                  <w:p>
                    <w:pPr>
                      <w:pStyle w:val="Footer"/>
                      <w:rPr>
                        <w:rStyle w:val="PageNumber"/>
                      </w:rPr>
                    </w:pPr>
                    <w:r>
                      <w:rPr/>
                    </w:r>
                  </w:p>
                  <w:p>
                    <w:pPr>
                      <w:pStyle w:val="Footer"/>
                      <w:rPr>
                        <w:rStyle w:val="PageNumber"/>
                      </w:rPr>
                    </w:pPr>
                    <w:r>
                      <w:rPr/>
                    </w:r>
                  </w:p>
                </w:txbxContent>
              </v:textbox>
              <w10:wrap type="square"/>
            </v:rect>
          </w:pict>
        </mc:Fallback>
      </mc:AlternateContent>
    </w:r>
  </w:p>
  <w:p>
    <w:pPr>
      <w:pStyle w:val="Footer"/>
      <w:jc w:val="center"/>
      <w:rPr/>
    </w:pPr>
    <w:r>
      <w:rPr>
        <w:rStyle w:val="PageNumber"/>
        <w:rFonts w:cs="AGaramond" w:ascii="AGaramond" w:hAnsi="AGaramond"/>
      </w:rPr>
      <w:t xml:space="preserve">Barran Liebman </w:t>
    </w:r>
    <w:r>
      <w:rPr>
        <w:rStyle w:val="PageNumber"/>
        <w:rFonts w:cs="AGaramond" w:ascii="AGaramond" w:hAnsi="AGaramond"/>
        <w:sz w:val="16"/>
      </w:rPr>
      <w:t>LLP</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880" w:leader="none"/>
        <w:tab w:val="left" w:pos="3600" w:leader="none"/>
        <w:tab w:val="left" w:pos="4320" w:leader="none"/>
        <w:tab w:val="center" w:pos="7488" w:leader="none"/>
      </w:tabs>
      <w:suppressAutoHyphens w:val="true"/>
      <w:jc w:val="center"/>
      <w:outlineLvl w:val="0"/>
    </w:pPr>
    <w:rPr>
      <w:rFonts w:ascii="CG Times" w:hAnsi="CG Times" w:cs="CG Times"/>
      <w:b/>
      <w:spacing w:val="-2"/>
      <w:kern w:val="2"/>
      <w:sz w:val="36"/>
      <w:u w:val="single"/>
    </w:rPr>
  </w:style>
  <w:style w:type="paragraph" w:styleId="Heading2">
    <w:name w:val="heading 2"/>
    <w:basedOn w:val="Normal"/>
    <w:next w:val="Normal"/>
    <w:qFormat/>
    <w:pPr>
      <w:keepNext w:val="true"/>
      <w:numPr>
        <w:ilvl w:val="1"/>
        <w:numId w:val="1"/>
      </w:numPr>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spacing w:before="90" w:after="54"/>
      <w:outlineLvl w:val="1"/>
    </w:pPr>
    <w:rPr>
      <w:rFonts w:ascii="CG Times" w:hAnsi="CG Times" w:cs="CG Times"/>
      <w:b/>
      <w:spacing w:val="-2"/>
      <w:kern w:val="2"/>
    </w:rPr>
  </w:style>
  <w:style w:type="paragraph" w:styleId="Heading3">
    <w:name w:val="heading 3"/>
    <w:basedOn w:val="Normal"/>
    <w:next w:val="Normal"/>
    <w:qFormat/>
    <w:pPr>
      <w:keepNext w:val="true"/>
      <w:numPr>
        <w:ilvl w:val="2"/>
        <w:numId w:val="1"/>
      </w:numPr>
      <w:tabs>
        <w:tab w:val="left" w:pos="720" w:leader="none"/>
        <w:tab w:val="left" w:pos="1440" w:leader="none"/>
        <w:tab w:val="left" w:pos="2160" w:leader="none"/>
        <w:tab w:val="left" w:pos="2880" w:leader="none"/>
        <w:tab w:val="left" w:pos="3600" w:leader="none"/>
        <w:tab w:val="left" w:pos="4320" w:leader="none"/>
        <w:tab w:val="center" w:pos="7488" w:leader="none"/>
      </w:tabs>
      <w:suppressAutoHyphens w:val="true"/>
      <w:jc w:val="center"/>
      <w:outlineLvl w:val="2"/>
    </w:pPr>
    <w:rPr>
      <w:rFonts w:ascii="CG Times" w:hAnsi="CG Times" w:cs="CG Times"/>
      <w:spacing w:val="-2"/>
      <w:kern w:val="2"/>
      <w:sz w:val="28"/>
    </w:rPr>
  </w:style>
  <w:style w:type="paragraph" w:styleId="Heading4">
    <w:name w:val="heading 4"/>
    <w:basedOn w:val="Normal"/>
    <w:next w:val="Normal"/>
    <w:qFormat/>
    <w:pPr>
      <w:keepNext w:val="true"/>
      <w:numPr>
        <w:ilvl w:val="3"/>
        <w:numId w:val="1"/>
      </w:numPr>
      <w:tabs>
        <w:tab w:val="left" w:pos="-720" w:leader="none"/>
        <w:tab w:val="left" w:pos="720" w:leader="none"/>
        <w:tab w:val="left" w:pos="1440" w:leader="none"/>
        <w:tab w:val="left" w:pos="2160" w:leader="none"/>
        <w:tab w:val="left" w:pos="2880" w:leader="none"/>
        <w:tab w:val="left" w:pos="3600" w:leader="none"/>
        <w:tab w:val="left" w:pos="4320" w:leader="none"/>
      </w:tabs>
      <w:suppressAutoHyphens w:val="true"/>
      <w:jc w:val="center"/>
      <w:outlineLvl w:val="3"/>
    </w:pPr>
    <w:rPr>
      <w:rFonts w:ascii="CG Times" w:hAnsi="CG Times" w:cs="CG Times"/>
      <w:b/>
      <w:spacing w:val="-2"/>
      <w:kern w:val="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none"/>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center" w:pos="7488" w:leader="none"/>
      </w:tabs>
      <w:suppressAutoHyphens w:val="true"/>
      <w:jc w:val="center"/>
    </w:pPr>
    <w:rPr>
      <w:rFonts w:ascii="CG Times" w:hAnsi="CG Times" w:cs="CG Times"/>
      <w:b/>
      <w:spacing w:val="-3"/>
      <w:kern w:val="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2000-03-30T19:17:00Z</dcterms:created>
  <dc:creator>Aaron Kirk Douglas</dc:creator>
  <dc:description>OFLA FEMLA chart</dc:description>
  <cp:keywords>PORTLAND:94806 v01</cp:keywords>
  <dc:language>en-CA</dc:language>
  <cp:lastModifiedBy>Aaron Kirk Douglas</cp:lastModifiedBy>
  <cp:lastPrinted>2000-03-30T16:36:00Z</cp:lastPrinted>
  <dcterms:modified xsi:type="dcterms:W3CDTF">2000-03-31T16:40:00Z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Firm</vt:lpwstr>
  </property>
  <property fmtid="{D5CDD505-2E9C-101B-9397-08002B2CF9AE}" pid="6" name="Doc Name">
    <vt:lpwstr>oflachartell032000.doc</vt:lpwstr>
  </property>
  <property fmtid="{D5CDD505-2E9C-101B-9397-08002B2CF9AE}" pid="7" name="Doc No.">
    <vt:lpwstr>oflachartell032000.doc</vt:lpwstr>
  </property>
  <property fmtid="{D5CDD505-2E9C-101B-9397-08002B2CF9AE}" pid="8" name="Doc Path">
    <vt:lpwstr>\\BLPDX01\newdocs\109\Guides_Handouts</vt:lpwstr>
  </property>
  <property fmtid="{D5CDD505-2E9C-101B-9397-08002B2CF9AE}" pid="9" name="File No.">
    <vt:lpwstr>0.20</vt:lpwstr>
  </property>
  <property fmtid="{D5CDD505-2E9C-101B-9397-08002B2CF9AE}" pid="10" name="Local Office">
    <vt:lpwstr>Portland, Oregon  97204-3159</vt:lpwstr>
  </property>
  <property fmtid="{D5CDD505-2E9C-101B-9397-08002B2CF9AE}" pid="11" name="Matter Name">
    <vt:lpwstr>Business Development</vt:lpwstr>
  </property>
  <property fmtid="{D5CDD505-2E9C-101B-9397-08002B2CF9AE}" pid="12" name="Orig Doc Path">
    <vt:lpwstr>   </vt:lpwstr>
  </property>
  <property fmtid="{D5CDD505-2E9C-101B-9397-08002B2CF9AE}" pid="13" name="Parties">
    <vt:lpwstr>   </vt:lpwstr>
  </property>
  <property fmtid="{D5CDD505-2E9C-101B-9397-08002B2CF9AE}" pid="14" name="Signer(s)">
    <vt:lpwstr>   </vt:lpwstr>
  </property>
</Properties>
</file>