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TMLPreformatted"/>
        <w:rPr>
          <w:rFonts w:ascii="Times New Roman" w:hAnsi="Times New Roman" w:cs="Times New Roman"/>
          <w:sz w:val="24"/>
        </w:rPr>
      </w:pPr>
      <w:r>
        <w:rPr>
          <w:rFonts w:cs="Times New Roman" w:ascii="Times New Roman" w:hAnsi="Times New Roman"/>
          <w:sz w:val="24"/>
        </w:rPr>
        <w:t>In accordance with Section 55 of the General Terms and Conditions of Northern’s FERC Gas Tariff, Northern may enter into transportation and/or storage agreements with other upstream or downstream third party entities.  In the event that Northern acquires capacity on a third party entity, Northern will use such capacity to render service to Shippers on the acquired capacity pursuant to Northern's FERC GasTariff and subject to Northern's approved rates, as such tariff and rates may change from time to time.  For use of the capacity which Northern has acquired on third party facilities, the "shipper must hold title" requirement is waived on the acquired capacity.</w:t>
      </w:r>
    </w:p>
    <w:p>
      <w:pPr>
        <w:pStyle w:val="HTMLPreformatted"/>
        <w:rPr/>
      </w:pPr>
      <w:r>
        <w:rPr/>
        <w:t xml:space="preserve"> </w:t>
      </w:r>
    </w:p>
    <w:p>
      <w:pPr>
        <w:pStyle w:val="Normal"/>
        <w:rPr/>
      </w:pPr>
      <w:r>
        <w:rPr/>
        <w:t xml:space="preserve">Marketing will determine whether there is a market for additional services to be provided by Northern, which require the acquisition of third party transportation or storage services.  Northern will be at-risk for recovery of the costs associated with the acquisition of off-system services.  Northern will </w:t>
      </w:r>
      <w:r>
        <w:rPr>
          <w:u w:val="single"/>
        </w:rPr>
        <w:t>not</w:t>
      </w:r>
      <w:r>
        <w:rPr/>
        <w:t xml:space="preserve"> hold title to any natural gas stored or transported on a third party facility.  Deliveries and redeliveries of associated Northern services shall be subject to the rates, terms and conditions of the applicable service agreements, including transportation and/or storage entitlements and capacity allocations.</w:t>
      </w:r>
    </w:p>
    <w:p>
      <w:pPr>
        <w:pStyle w:val="Header"/>
        <w:tabs>
          <w:tab w:val="clear" w:pos="4320"/>
          <w:tab w:val="clear" w:pos="8640"/>
        </w:tabs>
        <w:rPr/>
      </w:pPr>
      <w:r>
        <w:rPr/>
      </w:r>
    </w:p>
    <w:p>
      <w:pPr>
        <w:pStyle w:val="Header"/>
        <w:tabs>
          <w:tab w:val="clear" w:pos="4320"/>
          <w:tab w:val="clear" w:pos="8640"/>
        </w:tabs>
        <w:rPr/>
      </w:pPr>
      <w:r>
        <w:rPr/>
      </w:r>
    </w:p>
    <w:p>
      <w:pPr>
        <w:pStyle w:val="Normal"/>
        <w:rPr/>
      </w:pPr>
      <w:r>
        <w:rPr>
          <w:b/>
          <w:bCs/>
          <w:u w:val="single"/>
        </w:rPr>
        <w:t>APPROVAL PROCESS</w:t>
      </w:r>
      <w:r>
        <w:rPr>
          <w:b/>
          <w:bCs/>
        </w:rPr>
        <w:t>:</w:t>
      </w:r>
    </w:p>
    <w:p>
      <w:pPr>
        <w:pStyle w:val="Normal"/>
        <w:rPr>
          <w:b/>
          <w:bCs/>
        </w:rPr>
      </w:pPr>
      <w:r>
        <w:rPr>
          <w:b/>
          <w:bCs/>
        </w:rPr>
      </w:r>
    </w:p>
    <w:p>
      <w:pPr>
        <w:pStyle w:val="Normal"/>
        <w:rPr/>
      </w:pPr>
      <w:r>
        <w:rPr/>
        <w:t xml:space="preserve">The Marketing Account Representative, with the approval of the V.P. Marketing, will economically justify each transaction and establish the parameters for an agreement in principle with a third party service provider.  </w:t>
      </w:r>
    </w:p>
    <w:p>
      <w:pPr>
        <w:pStyle w:val="Normal"/>
        <w:rPr/>
      </w:pPr>
      <w:r>
        <w:rPr/>
      </w:r>
    </w:p>
    <w:p>
      <w:pPr>
        <w:pStyle w:val="Normal"/>
        <w:numPr>
          <w:ilvl w:val="0"/>
          <w:numId w:val="3"/>
        </w:numPr>
        <w:rPr/>
      </w:pPr>
      <w:r>
        <w:rPr/>
        <w:t xml:space="preserve">Prior to execution, the V.P. Marketing, V.P. Regulatory Affairs, and Senior Counsel must approve any contract(s) entered into with a third party service provider.  </w:t>
      </w:r>
    </w:p>
    <w:p>
      <w:pPr>
        <w:pStyle w:val="Normal"/>
        <w:numPr>
          <w:ilvl w:val="0"/>
          <w:numId w:val="2"/>
        </w:numPr>
        <w:rPr/>
      </w:pPr>
      <w:r>
        <w:rPr/>
        <w:t xml:space="preserve">Services provided pursuant to Northern’s FERC Gas Tariff will be approved in accordance with Northern’s existing contract approval process. </w:t>
      </w:r>
    </w:p>
    <w:p>
      <w:pPr>
        <w:pStyle w:val="Header"/>
        <w:tabs>
          <w:tab w:val="clear" w:pos="4320"/>
          <w:tab w:val="clear" w:pos="8640"/>
        </w:tabs>
        <w:rPr/>
      </w:pPr>
      <w:r>
        <w:rPr/>
      </w:r>
    </w:p>
    <w:p>
      <w:pPr>
        <w:pStyle w:val="Header"/>
        <w:tabs>
          <w:tab w:val="clear" w:pos="4320"/>
          <w:tab w:val="clear" w:pos="8640"/>
        </w:tabs>
        <w:rPr/>
      </w:pPr>
      <w:r>
        <w:rPr/>
      </w:r>
    </w:p>
    <w:p>
      <w:pPr>
        <w:pStyle w:val="Normal"/>
        <w:rPr/>
      </w:pPr>
      <w:r>
        <w:rPr>
          <w:b/>
          <w:bCs/>
          <w:u w:val="single"/>
        </w:rPr>
        <w:t>ACCOUNTING PROCEDURES</w:t>
      </w:r>
      <w:r>
        <w:rPr>
          <w:b/>
          <w:bCs/>
        </w:rPr>
        <w:t>:</w:t>
      </w:r>
    </w:p>
    <w:p>
      <w:pPr>
        <w:pStyle w:val="Normal"/>
        <w:rPr>
          <w:b/>
          <w:bCs/>
        </w:rPr>
      </w:pPr>
      <w:r>
        <w:rPr>
          <w:b/>
          <w:bCs/>
        </w:rPr>
      </w:r>
    </w:p>
    <w:p>
      <w:pPr>
        <w:pStyle w:val="Normal"/>
        <w:rPr/>
      </w:pPr>
      <w:r>
        <w:rPr/>
        <w:t xml:space="preserve">Costs (including UAF and fuel) and revenues related to off-system transactions must be tracked separately from Northern’s other transportation and storage operating expenses and revenues. </w:t>
      </w:r>
    </w:p>
    <w:p>
      <w:pPr>
        <w:pStyle w:val="Normal"/>
        <w:numPr>
          <w:ilvl w:val="0"/>
          <w:numId w:val="1"/>
        </w:numPr>
        <w:rPr/>
      </w:pPr>
      <w:r>
        <w:rPr>
          <w:color w:val="FF0000"/>
        </w:rPr>
        <w:t xml:space="preserve">Northern will account for any costs of third party services through general ledger Account 824 – </w:t>
      </w:r>
      <w:r>
        <w:rPr>
          <w:i/>
          <w:iCs/>
          <w:color w:val="FF0000"/>
        </w:rPr>
        <w:t xml:space="preserve">Other Expenses.  </w:t>
      </w:r>
      <w:r>
        <w:rPr>
          <w:color w:val="FF0000"/>
        </w:rPr>
        <w:t>(Dan, Tim &amp; Pat do you agree?)</w:t>
      </w:r>
      <w:r>
        <w:rPr>
          <w:i/>
          <w:iCs/>
          <w:color w:val="FF0000"/>
        </w:rPr>
        <w:t xml:space="preserve"> </w:t>
      </w:r>
      <w:r>
        <w:rPr/>
        <w:t xml:space="preserve">  </w:t>
      </w:r>
    </w:p>
    <w:p>
      <w:pPr>
        <w:pStyle w:val="Normal"/>
        <w:numPr>
          <w:ilvl w:val="0"/>
          <w:numId w:val="1"/>
        </w:numPr>
        <w:rPr/>
      </w:pPr>
      <w:r>
        <w:rPr/>
        <w:t xml:space="preserve">The marketing group will manually track all revenues by contract for services related to off-system transactions.  </w:t>
      </w:r>
      <w:r>
        <w:rPr>
          <w:color w:val="FF0000"/>
        </w:rPr>
        <w:t>Revenues will be recorded separately in general ledger Account ??? (Dan – I need help here.)</w:t>
      </w:r>
    </w:p>
    <w:p>
      <w:pPr>
        <w:pStyle w:val="Normal"/>
        <w:rPr/>
      </w:pPr>
      <w:r>
        <w:rPr/>
      </w:r>
    </w:p>
    <w:p>
      <w:pPr>
        <w:pStyle w:val="Normal"/>
        <w:rPr/>
      </w:pPr>
      <w:r>
        <w:rPr/>
      </w:r>
    </w:p>
    <w:p>
      <w:pPr>
        <w:pStyle w:val="Normal"/>
        <w:rPr/>
      </w:pPr>
      <w:r>
        <w:rPr>
          <w:b/>
          <w:bCs/>
          <w:u w:val="single"/>
        </w:rPr>
        <w:t>NOMINATIONS AND SCHEDULING</w:t>
      </w:r>
      <w:r>
        <w:rPr>
          <w:b/>
          <w:bCs/>
        </w:rPr>
        <w:t>:</w:t>
      </w:r>
    </w:p>
    <w:p>
      <w:pPr>
        <w:pStyle w:val="Normal"/>
        <w:rPr>
          <w:b/>
          <w:bCs/>
        </w:rPr>
      </w:pPr>
      <w:r>
        <w:rPr>
          <w:b/>
          <w:bCs/>
        </w:rPr>
      </w:r>
    </w:p>
    <w:p>
      <w:pPr>
        <w:pStyle w:val="Normal"/>
        <w:rPr/>
      </w:pPr>
      <w:r>
        <w:rPr/>
        <w:t xml:space="preserve">Northern’s Gas Logistics group will administer nomination and scheduling activities for off-system transactions.  Nominations on the third party’s facilities will be scheduled through an administrative contract.  Such contract(s) will have the lowest scheduling priority in Northern’s scheduling process.  </w:t>
      </w:r>
    </w:p>
    <w:p>
      <w:pPr>
        <w:pStyle w:val="Normal"/>
        <w:rPr/>
      </w:pPr>
      <w:r>
        <w:rPr/>
      </w:r>
    </w:p>
    <w:p>
      <w:pPr>
        <w:pStyle w:val="Normal"/>
        <w:rPr/>
      </w:pPr>
      <w:r>
        <w:rPr/>
        <w:t xml:space="preserve">In the event Northern’s storage services are allocated, IDD transactions associated with third parties deals would be treated the same as all other IDD transactions in accordance with the general terms and conditions of Northern’s FERC Gas Tariff. </w:t>
      </w:r>
    </w:p>
    <w:p>
      <w:pPr>
        <w:pStyle w:val="Normal"/>
        <w:rPr/>
      </w:pPr>
      <w:r>
        <w:rPr/>
      </w:r>
    </w:p>
    <w:p>
      <w:pPr>
        <w:pStyle w:val="Normal"/>
        <w:rPr/>
      </w:pPr>
      <w:r>
        <w:rPr/>
        <w:t>Prior to executing an agreement, transactions that require any special handling regarding billing, nominations or scheduling should be discussed and approved by the Gas Logistics group.</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u w:val="single"/>
      </w:rPr>
    </w:pPr>
    <w:r>
      <w:rPr>
        <w:b/>
        <w:bCs/>
        <w:u w:val="single"/>
      </w:rPr>
      <w:t>For Internal Use Only</w:t>
    </w:r>
  </w:p>
  <w:p>
    <w:pPr>
      <w:pStyle w:val="Header"/>
      <w:jc w:val="center"/>
      <w:rPr>
        <w:b/>
        <w:bCs/>
        <w:u w:val="single"/>
      </w:rPr>
    </w:pPr>
    <w:r>
      <w:rPr>
        <w:b/>
        <w:bCs/>
        <w:u w:val="single"/>
      </w:rPr>
    </w:r>
  </w:p>
  <w:p>
    <w:pPr>
      <w:pStyle w:val="Header"/>
      <w:jc w:val="center"/>
      <w:rPr>
        <w:b/>
        <w:bCs/>
      </w:rPr>
    </w:pPr>
    <w:r>
      <w:rPr>
        <w:b/>
        <w:bCs/>
      </w:rPr>
      <w:t>NORTHERN NATURAL GAS COMPANY</w:t>
    </w:r>
  </w:p>
  <w:p>
    <w:pPr>
      <w:pStyle w:val="Header"/>
      <w:jc w:val="center"/>
      <w:rPr>
        <w:b/>
        <w:bCs/>
      </w:rPr>
    </w:pPr>
    <w:r>
      <w:rPr>
        <w:b/>
        <w:bCs/>
      </w:rPr>
      <w:t>PROCEDURES FOR OFFSYSTEM TRANSACTIONS</w:t>
    </w:r>
  </w:p>
  <w:p>
    <w:pPr>
      <w:pStyle w:val="Header"/>
      <w:jc w:val="center"/>
      <w:rPr>
        <w:b/>
        <w:bCs/>
        <w:u w:val="single"/>
      </w:rPr>
    </w:pPr>
    <w:r>
      <w:rPr>
        <w:b/>
        <w:bCs/>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89"/>
        </w:tabs>
        <w:ind w:start="789"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color w:val="000000"/>
      <w:sz w:val="20"/>
      <w:szCs w:val="20"/>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2001-10-22T15:31:00Z</dcterms:created>
  <dc:creator>Preferred Customer</dc:creator>
  <dc:description/>
  <dc:language>en-CA</dc:language>
  <cp:lastModifiedBy>mwincko</cp:lastModifiedBy>
  <dcterms:modified xsi:type="dcterms:W3CDTF">2001-10-22T15:31:00Z</dcterms:modified>
  <cp:revision>2</cp:revision>
  <dc:subject/>
  <dc:title>Marketing will determine whether there is a market for additional services to be provided by Northern which require the acquis</dc:title>
</cp:coreProperties>
</file>