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Exhibit B</w:t>
      </w:r>
    </w:p>
    <w:p>
      <w:pPr>
        <w:pStyle w:val="Normal"/>
        <w:jc w:val="center"/>
        <w:rPr>
          <w:b/>
          <w:bCs/>
          <w:smallCaps/>
          <w:sz w:val="28"/>
        </w:rPr>
      </w:pPr>
      <w:r>
        <w:rPr>
          <w:b/>
          <w:bCs/>
          <w:smallCaps/>
          <w:sz w:val="28"/>
        </w:rPr>
      </w:r>
    </w:p>
    <w:p>
      <w:pPr>
        <w:pStyle w:val="Normal"/>
        <w:jc w:val="center"/>
        <w:rPr>
          <w:b/>
          <w:bCs/>
          <w:smallCaps/>
          <w:sz w:val="28"/>
        </w:rPr>
      </w:pPr>
      <w:r>
        <w:rPr>
          <w:b/>
          <w:bCs/>
          <w:smallCaps/>
          <w:sz w:val="28"/>
        </w:rPr>
        <w:t>Summary of Terms and Conditions of the</w:t>
      </w:r>
    </w:p>
    <w:p>
      <w:pPr>
        <w:pStyle w:val="Normal"/>
        <w:jc w:val="center"/>
        <w:rPr>
          <w:b/>
          <w:bCs/>
          <w:smallCaps/>
          <w:sz w:val="28"/>
        </w:rPr>
      </w:pPr>
      <w:r>
        <w:rPr>
          <w:b/>
          <w:bCs/>
          <w:smallCaps/>
          <w:sz w:val="28"/>
        </w:rPr>
        <w:t>Benefit Plans, Compensation Plans, Related Programs,</w:t>
      </w:r>
    </w:p>
    <w:p>
      <w:pPr>
        <w:pStyle w:val="Normal"/>
        <w:jc w:val="center"/>
        <w:rPr>
          <w:b/>
          <w:bCs/>
          <w:smallCaps/>
          <w:sz w:val="23"/>
        </w:rPr>
      </w:pPr>
      <w:r>
        <w:rPr>
          <w:b/>
          <w:bCs/>
          <w:smallCaps/>
          <w:sz w:val="28"/>
        </w:rPr>
        <w:t>Policies and Procedures</w:t>
      </w:r>
    </w:p>
    <w:p>
      <w:pPr>
        <w:pStyle w:val="Normal"/>
        <w:jc w:val="both"/>
        <w:rPr>
          <w:b/>
          <w:bCs/>
          <w:smallCaps/>
          <w:sz w:val="23"/>
        </w:rPr>
      </w:pPr>
      <w:r>
        <w:rPr>
          <w:b/>
          <w:bCs/>
          <w:smallCaps/>
          <w:sz w:val="23"/>
        </w:rPr>
      </w:r>
    </w:p>
    <w:p>
      <w:pPr>
        <w:pStyle w:val="Normal"/>
        <w:jc w:val="both"/>
        <w:rPr>
          <w:sz w:val="23"/>
        </w:rPr>
      </w:pPr>
      <w:r>
        <w:rPr>
          <w:sz w:val="23"/>
        </w:rPr>
      </w:r>
    </w:p>
    <w:p>
      <w:pPr>
        <w:pStyle w:val="Normal"/>
        <w:jc w:val="both"/>
        <w:rPr>
          <w:sz w:val="23"/>
        </w:rPr>
      </w:pPr>
      <w:r>
        <w:rPr>
          <w:sz w:val="23"/>
        </w:rPr>
      </w:r>
    </w:p>
    <w:p>
      <w:pPr>
        <w:pStyle w:val="Heading1"/>
        <w:ind w:hanging="0" w:start="0"/>
        <w:rPr>
          <w:sz w:val="23"/>
        </w:rPr>
      </w:pPr>
      <w:r>
        <w:rPr>
          <w:sz w:val="23"/>
        </w:rPr>
        <w:t>A.</w:t>
        <w:tab/>
        <w:t>BENEFITS AND COMPENSATION</w:t>
      </w:r>
    </w:p>
    <w:p>
      <w:pPr>
        <w:pStyle w:val="Normal"/>
        <w:jc w:val="both"/>
        <w:rPr>
          <w:sz w:val="23"/>
        </w:rPr>
      </w:pPr>
      <w:r>
        <w:rPr>
          <w:sz w:val="23"/>
        </w:rPr>
      </w:r>
    </w:p>
    <w:p>
      <w:pPr>
        <w:pStyle w:val="Heading2"/>
        <w:ind w:hanging="0" w:start="0"/>
        <w:rPr>
          <w:sz w:val="23"/>
        </w:rPr>
      </w:pPr>
      <w:r>
        <w:rPr>
          <w:sz w:val="23"/>
        </w:rPr>
        <w:t>Insurance</w:t>
      </w:r>
    </w:p>
    <w:p>
      <w:pPr>
        <w:pStyle w:val="Normal"/>
        <w:jc w:val="both"/>
        <w:rPr>
          <w:sz w:val="23"/>
        </w:rPr>
      </w:pPr>
      <w:r>
        <w:rPr>
          <w:sz w:val="23"/>
        </w:rPr>
      </w:r>
    </w:p>
    <w:p>
      <w:pPr>
        <w:pStyle w:val="Normal"/>
        <w:jc w:val="both"/>
        <w:rPr>
          <w:sz w:val="23"/>
        </w:rPr>
      </w:pPr>
      <w:r>
        <w:rPr>
          <w:sz w:val="23"/>
        </w:rPr>
        <w:t>Enron offers a flexible benefits package which is designed to offer you choices in coverage for medical, dental, life and accidental death &amp; dismemberment insurance for you and your eligible dependents, as well as long-term disability insurance for you.  Provided that you make benefit elections within 31 days of your hire date, these coverages are effective retroactive to your first day of employment.  Your package includes “Enron Flexible Compensation” to assist you with the cost of these plans.  The Flexplan also allows for pre-tax payroll deductions for contributing to health care and dependent daycare spending accounts.  A benefits packet and a personal benefits summary outlining your options are enclosed for your review.</w:t>
      </w:r>
    </w:p>
    <w:p>
      <w:pPr>
        <w:pStyle w:val="Normal"/>
        <w:jc w:val="both"/>
        <w:rPr>
          <w:sz w:val="23"/>
        </w:rPr>
      </w:pPr>
      <w:r>
        <w:rPr>
          <w:sz w:val="23"/>
        </w:rPr>
      </w:r>
    </w:p>
    <w:p>
      <w:pPr>
        <w:pStyle w:val="Heading2"/>
        <w:ind w:hanging="0" w:start="0"/>
        <w:rPr>
          <w:sz w:val="23"/>
        </w:rPr>
      </w:pPr>
      <w:r>
        <w:rPr>
          <w:sz w:val="23"/>
        </w:rPr>
        <w:t>EnronOptions – Your Stock Option Program</w:t>
      </w:r>
    </w:p>
    <w:p>
      <w:pPr>
        <w:pStyle w:val="Normal"/>
        <w:jc w:val="both"/>
        <w:rPr>
          <w:sz w:val="23"/>
        </w:rPr>
      </w:pPr>
      <w:r>
        <w:rPr>
          <w:sz w:val="23"/>
        </w:rPr>
      </w:r>
    </w:p>
    <w:p>
      <w:pPr>
        <w:pStyle w:val="Normal"/>
        <w:jc w:val="both"/>
        <w:rPr>
          <w:sz w:val="23"/>
        </w:rPr>
      </w:pPr>
      <w:r>
        <w:rPr>
          <w:sz w:val="23"/>
        </w:rPr>
        <w:t>The Compensation and Management Development Committee of the Enron Corp. Board of Directors (“Committee”) approved a general design for an employee stock option program for 2001-2005.  The new program (EnronOptions – Your Stock Option Program) design is as follows:</w:t>
      </w:r>
    </w:p>
    <w:p>
      <w:pPr>
        <w:pStyle w:val="Normal"/>
        <w:jc w:val="both"/>
        <w:rPr>
          <w:sz w:val="23"/>
        </w:rPr>
      </w:pPr>
      <w:r>
        <w:rPr>
          <w:sz w:val="23"/>
        </w:rPr>
      </w:r>
    </w:p>
    <w:p>
      <w:pPr>
        <w:pStyle w:val="Normal"/>
        <w:numPr>
          <w:ilvl w:val="0"/>
          <w:numId w:val="6"/>
        </w:numPr>
        <w:jc w:val="both"/>
        <w:rPr>
          <w:sz w:val="23"/>
        </w:rPr>
      </w:pPr>
      <w:r>
        <w:rPr>
          <w:sz w:val="23"/>
        </w:rPr>
        <w:t>EnronOptions – Your Stock Option Program will grant stock options to purchase shares of Enron Corp. common stock to eligible regular and part-time employees in domestic and international companies/locations.  The Committee will determine which employees and employers are eligible to participate in the Program.</w:t>
      </w:r>
    </w:p>
    <w:p>
      <w:pPr>
        <w:pStyle w:val="Normal"/>
        <w:ind w:start="1080" w:end="0"/>
        <w:jc w:val="both"/>
        <w:rPr>
          <w:sz w:val="23"/>
        </w:rPr>
      </w:pPr>
      <w:r>
        <w:rPr>
          <w:sz w:val="23"/>
        </w:rPr>
      </w:r>
    </w:p>
    <w:p>
      <w:pPr>
        <w:pStyle w:val="Normal"/>
        <w:numPr>
          <w:ilvl w:val="0"/>
          <w:numId w:val="6"/>
        </w:numPr>
        <w:jc w:val="both"/>
        <w:rPr>
          <w:sz w:val="23"/>
        </w:rPr>
      </w:pPr>
      <w:r>
        <w:rPr>
          <w:sz w:val="23"/>
        </w:rPr>
        <w:t>The one time up-front grant of non-qualified stock options under the Program to eligible employees will be equal to 5% of annual base salary for each year of the 5-year program as follows:</w:t>
      </w:r>
    </w:p>
    <w:p>
      <w:pPr>
        <w:pStyle w:val="Normal"/>
        <w:jc w:val="both"/>
        <w:rPr>
          <w:sz w:val="23"/>
        </w:rPr>
      </w:pPr>
      <w:r>
        <w:rPr>
          <w:sz w:val="23"/>
        </w:rPr>
      </w:r>
    </w:p>
    <w:tbl>
      <w:tblPr>
        <w:tblW w:w="6408" w:type="dxa"/>
        <w:jc w:val="start"/>
        <w:tblInd w:w="2160" w:type="dxa"/>
        <w:tblLayout w:type="fixed"/>
        <w:tblCellMar>
          <w:top w:w="0" w:type="dxa"/>
          <w:start w:w="108" w:type="dxa"/>
          <w:bottom w:w="0" w:type="dxa"/>
          <w:end w:w="108" w:type="dxa"/>
        </w:tblCellMar>
      </w:tblPr>
      <w:tblGrid>
        <w:gridCol w:w="2808"/>
        <w:gridCol w:w="3600"/>
      </w:tblGrid>
      <w:tr>
        <w:trPr/>
        <w:tc>
          <w:tcPr>
            <w:tcW w:w="2808" w:type="dxa"/>
            <w:tcBorders>
              <w:top w:val="single" w:sz="12" w:space="0" w:color="008000"/>
              <w:bottom w:val="single" w:sz="6" w:space="0" w:color="008000"/>
            </w:tcBorders>
            <w:shd w:fill="BFBFBF" w:val="clear"/>
          </w:tcPr>
          <w:p>
            <w:pPr>
              <w:pStyle w:val="Normal"/>
              <w:jc w:val="both"/>
              <w:rPr>
                <w:b/>
                <w:bCs/>
                <w:sz w:val="23"/>
              </w:rPr>
            </w:pPr>
            <w:r>
              <w:rPr>
                <w:b/>
                <w:bCs/>
                <w:sz w:val="23"/>
              </w:rPr>
              <w:t>If you are hired in….</w:t>
            </w:r>
          </w:p>
        </w:tc>
        <w:tc>
          <w:tcPr>
            <w:tcW w:w="3600" w:type="dxa"/>
            <w:tcBorders>
              <w:top w:val="single" w:sz="12" w:space="0" w:color="008000"/>
              <w:bottom w:val="single" w:sz="6" w:space="0" w:color="008000"/>
            </w:tcBorders>
            <w:shd w:fill="BFBFBF" w:val="clear"/>
          </w:tcPr>
          <w:p>
            <w:pPr>
              <w:pStyle w:val="Heading3"/>
              <w:ind w:start="0" w:end="0"/>
              <w:rPr>
                <w:sz w:val="23"/>
              </w:rPr>
            </w:pPr>
            <w:r>
              <w:rPr>
                <w:sz w:val="23"/>
              </w:rPr>
              <w:t>Then you would receive options</w:t>
            </w:r>
          </w:p>
          <w:p>
            <w:pPr>
              <w:pStyle w:val="Normal"/>
              <w:rPr>
                <w:b/>
                <w:bCs/>
                <w:sz w:val="23"/>
              </w:rPr>
            </w:pPr>
            <w:r>
              <w:rPr>
                <w:b/>
                <w:bCs/>
                <w:sz w:val="23"/>
              </w:rPr>
              <w:t>worth this percentage of your</w:t>
            </w:r>
          </w:p>
          <w:p>
            <w:pPr>
              <w:pStyle w:val="Normal"/>
              <w:jc w:val="both"/>
              <w:rPr>
                <w:sz w:val="23"/>
              </w:rPr>
            </w:pPr>
            <w:r>
              <w:rPr>
                <w:b/>
                <w:bCs/>
                <w:sz w:val="23"/>
              </w:rPr>
              <w:t>salary</w:t>
            </w:r>
          </w:p>
        </w:tc>
      </w:tr>
      <w:tr>
        <w:trPr/>
        <w:tc>
          <w:tcPr>
            <w:tcW w:w="2808" w:type="dxa"/>
            <w:tcBorders>
              <w:top w:val="single" w:sz="6" w:space="0" w:color="008000"/>
            </w:tcBorders>
          </w:tcPr>
          <w:p>
            <w:pPr>
              <w:pStyle w:val="Normal"/>
              <w:jc w:val="both"/>
              <w:rPr>
                <w:sz w:val="23"/>
              </w:rPr>
            </w:pPr>
            <w:r>
              <w:rPr>
                <w:sz w:val="23"/>
              </w:rPr>
              <w:t xml:space="preserve">    </w:t>
            </w:r>
            <w:r>
              <w:rPr>
                <w:sz w:val="23"/>
              </w:rPr>
              <w:t>2000 or earlier</w:t>
            </w:r>
          </w:p>
        </w:tc>
        <w:tc>
          <w:tcPr>
            <w:tcW w:w="3600" w:type="dxa"/>
            <w:tcBorders>
              <w:top w:val="single" w:sz="6" w:space="0" w:color="008000"/>
            </w:tcBorders>
          </w:tcPr>
          <w:p>
            <w:pPr>
              <w:pStyle w:val="Normal"/>
              <w:jc w:val="center"/>
              <w:rPr>
                <w:sz w:val="23"/>
              </w:rPr>
            </w:pPr>
            <w:r>
              <w:rPr>
                <w:sz w:val="23"/>
              </w:rPr>
              <w:t>25%</w:t>
            </w:r>
          </w:p>
        </w:tc>
      </w:tr>
      <w:tr>
        <w:trPr/>
        <w:tc>
          <w:tcPr>
            <w:tcW w:w="2808" w:type="dxa"/>
            <w:tcBorders/>
            <w:shd w:fill="CCCCCC" w:val="clear"/>
          </w:tcPr>
          <w:p>
            <w:pPr>
              <w:pStyle w:val="Normal"/>
              <w:jc w:val="both"/>
              <w:rPr>
                <w:sz w:val="23"/>
              </w:rPr>
            </w:pPr>
            <w:r>
              <w:rPr>
                <w:sz w:val="23"/>
              </w:rPr>
              <w:t xml:space="preserve">    </w:t>
            </w:r>
            <w:r>
              <w:rPr>
                <w:sz w:val="23"/>
              </w:rPr>
              <w:t>2001</w:t>
            </w:r>
          </w:p>
        </w:tc>
        <w:tc>
          <w:tcPr>
            <w:tcW w:w="3600" w:type="dxa"/>
            <w:tcBorders/>
            <w:shd w:fill="CCCCCC" w:val="clear"/>
          </w:tcPr>
          <w:p>
            <w:pPr>
              <w:pStyle w:val="Normal"/>
              <w:jc w:val="center"/>
              <w:rPr>
                <w:sz w:val="23"/>
              </w:rPr>
            </w:pPr>
            <w:r>
              <w:rPr>
                <w:sz w:val="23"/>
              </w:rPr>
              <w:t>20%</w:t>
            </w:r>
          </w:p>
        </w:tc>
      </w:tr>
      <w:tr>
        <w:trPr/>
        <w:tc>
          <w:tcPr>
            <w:tcW w:w="2808" w:type="dxa"/>
            <w:tcBorders/>
          </w:tcPr>
          <w:p>
            <w:pPr>
              <w:pStyle w:val="Normal"/>
              <w:jc w:val="both"/>
              <w:rPr>
                <w:sz w:val="23"/>
              </w:rPr>
            </w:pPr>
            <w:r>
              <w:rPr>
                <w:sz w:val="23"/>
              </w:rPr>
              <w:t xml:space="preserve">    </w:t>
            </w:r>
            <w:r>
              <w:rPr>
                <w:sz w:val="23"/>
              </w:rPr>
              <w:t>2002</w:t>
            </w:r>
          </w:p>
        </w:tc>
        <w:tc>
          <w:tcPr>
            <w:tcW w:w="3600" w:type="dxa"/>
            <w:tcBorders/>
          </w:tcPr>
          <w:p>
            <w:pPr>
              <w:pStyle w:val="Normal"/>
              <w:jc w:val="center"/>
              <w:rPr>
                <w:sz w:val="23"/>
              </w:rPr>
            </w:pPr>
            <w:r>
              <w:rPr>
                <w:sz w:val="23"/>
              </w:rPr>
              <w:t>15%</w:t>
            </w:r>
          </w:p>
        </w:tc>
      </w:tr>
      <w:tr>
        <w:trPr/>
        <w:tc>
          <w:tcPr>
            <w:tcW w:w="2808" w:type="dxa"/>
            <w:tcBorders/>
            <w:shd w:fill="CCCCCC" w:val="clear"/>
          </w:tcPr>
          <w:p>
            <w:pPr>
              <w:pStyle w:val="Normal"/>
              <w:jc w:val="both"/>
              <w:rPr>
                <w:sz w:val="23"/>
              </w:rPr>
            </w:pPr>
            <w:r>
              <w:rPr>
                <w:sz w:val="23"/>
              </w:rPr>
              <w:t xml:space="preserve">    </w:t>
            </w:r>
            <w:r>
              <w:rPr>
                <w:sz w:val="23"/>
              </w:rPr>
              <w:t>2003</w:t>
            </w:r>
          </w:p>
        </w:tc>
        <w:tc>
          <w:tcPr>
            <w:tcW w:w="3600" w:type="dxa"/>
            <w:tcBorders/>
            <w:shd w:fill="CCCCCC" w:val="clear"/>
          </w:tcPr>
          <w:p>
            <w:pPr>
              <w:pStyle w:val="Normal"/>
              <w:jc w:val="center"/>
              <w:rPr>
                <w:sz w:val="23"/>
              </w:rPr>
            </w:pPr>
            <w:r>
              <w:rPr>
                <w:sz w:val="23"/>
              </w:rPr>
              <w:t>10%</w:t>
            </w:r>
          </w:p>
        </w:tc>
      </w:tr>
      <w:tr>
        <w:trPr/>
        <w:tc>
          <w:tcPr>
            <w:tcW w:w="2808" w:type="dxa"/>
            <w:tcBorders>
              <w:bottom w:val="single" w:sz="12" w:space="0" w:color="008000"/>
            </w:tcBorders>
          </w:tcPr>
          <w:p>
            <w:pPr>
              <w:pStyle w:val="Normal"/>
              <w:jc w:val="both"/>
              <w:rPr>
                <w:sz w:val="23"/>
              </w:rPr>
            </w:pPr>
            <w:r>
              <w:rPr>
                <w:sz w:val="23"/>
              </w:rPr>
              <w:t xml:space="preserve">    </w:t>
            </w:r>
            <w:r>
              <w:rPr>
                <w:sz w:val="23"/>
              </w:rPr>
              <w:t>2004</w:t>
            </w:r>
          </w:p>
        </w:tc>
        <w:tc>
          <w:tcPr>
            <w:tcW w:w="3600" w:type="dxa"/>
            <w:tcBorders>
              <w:bottom w:val="single" w:sz="12" w:space="0" w:color="008000"/>
            </w:tcBorders>
          </w:tcPr>
          <w:p>
            <w:pPr>
              <w:pStyle w:val="Normal"/>
              <w:jc w:val="center"/>
              <w:rPr>
                <w:sz w:val="23"/>
              </w:rPr>
            </w:pPr>
            <w:r>
              <w:rPr>
                <w:sz w:val="23"/>
              </w:rPr>
              <w:t>5%</w:t>
            </w:r>
          </w:p>
        </w:tc>
      </w:tr>
    </w:tbl>
    <w:p>
      <w:pPr>
        <w:pStyle w:val="Normal"/>
        <w:jc w:val="both"/>
        <w:rPr>
          <w:sz w:val="23"/>
        </w:rPr>
      </w:pPr>
      <w:r>
        <w:rPr>
          <w:sz w:val="23"/>
        </w:rPr>
      </w:r>
    </w:p>
    <w:p>
      <w:pPr>
        <w:pStyle w:val="Normal"/>
        <w:numPr>
          <w:ilvl w:val="0"/>
          <w:numId w:val="2"/>
        </w:numPr>
        <w:jc w:val="both"/>
        <w:rPr>
          <w:sz w:val="23"/>
        </w:rPr>
      </w:pPr>
      <w:r>
        <w:rPr>
          <w:sz w:val="23"/>
        </w:rPr>
        <w:t>We expect the grants to be made on or about the last business day in December of each year.  (Salary calculation and value may vary in some international locations.)</w:t>
      </w:r>
    </w:p>
    <w:p>
      <w:pPr>
        <w:pStyle w:val="Normal"/>
        <w:jc w:val="both"/>
        <w:rPr>
          <w:sz w:val="23"/>
        </w:rPr>
      </w:pPr>
      <w:r>
        <w:rPr>
          <w:sz w:val="23"/>
        </w:rPr>
      </w:r>
    </w:p>
    <w:p>
      <w:pPr>
        <w:pStyle w:val="Normal"/>
        <w:numPr>
          <w:ilvl w:val="0"/>
          <w:numId w:val="2"/>
        </w:numPr>
        <w:jc w:val="both"/>
        <w:rPr>
          <w:sz w:val="23"/>
        </w:rPr>
      </w:pPr>
      <w:r>
        <w:rPr>
          <w:sz w:val="23"/>
        </w:rPr>
        <w:t>The grants will be subject to vesting in equal percentages beginning June 30, 2001 until June 30, 2005 as follows:</w:t>
      </w:r>
    </w:p>
    <w:p>
      <w:pPr>
        <w:pStyle w:val="Normal"/>
        <w:jc w:val="both"/>
        <w:rPr>
          <w:sz w:val="23"/>
        </w:rPr>
      </w:pPr>
      <w:r>
        <w:rPr>
          <w:sz w:val="23"/>
        </w:rPr>
      </w:r>
    </w:p>
    <w:tbl>
      <w:tblPr>
        <w:tblW w:w="7560" w:type="dxa"/>
        <w:jc w:val="start"/>
        <w:tblInd w:w="1908" w:type="dxa"/>
        <w:tblLayout w:type="fixed"/>
        <w:tblCellMar>
          <w:top w:w="0" w:type="dxa"/>
          <w:start w:w="108" w:type="dxa"/>
          <w:bottom w:w="0" w:type="dxa"/>
          <w:end w:w="108" w:type="dxa"/>
        </w:tblCellMar>
      </w:tblPr>
      <w:tblGrid>
        <w:gridCol w:w="2160"/>
        <w:gridCol w:w="1080"/>
        <w:gridCol w:w="1080"/>
        <w:gridCol w:w="1080"/>
        <w:gridCol w:w="1080"/>
        <w:gridCol w:w="1080"/>
      </w:tblGrid>
      <w:tr>
        <w:trPr/>
        <w:tc>
          <w:tcPr>
            <w:tcW w:w="2160" w:type="dxa"/>
            <w:tcBorders>
              <w:top w:val="single" w:sz="12" w:space="0" w:color="008000"/>
              <w:bottom w:val="single" w:sz="6" w:space="0" w:color="008000"/>
            </w:tcBorders>
            <w:shd w:fill="BFBFBF" w:val="clear"/>
          </w:tcPr>
          <w:p>
            <w:pPr>
              <w:pStyle w:val="Normal"/>
              <w:jc w:val="both"/>
              <w:rPr>
                <w:b/>
                <w:bCs/>
                <w:sz w:val="23"/>
              </w:rPr>
            </w:pPr>
            <w:r>
              <w:rPr>
                <w:b/>
                <w:bCs/>
                <w:sz w:val="23"/>
              </w:rPr>
              <w:t xml:space="preserve">If You Receive a </w:t>
            </w:r>
          </w:p>
          <w:p>
            <w:pPr>
              <w:pStyle w:val="Normal"/>
              <w:jc w:val="both"/>
              <w:rPr>
                <w:b/>
                <w:bCs/>
                <w:sz w:val="23"/>
              </w:rPr>
            </w:pPr>
            <w:r>
              <w:rPr>
                <w:b/>
                <w:bCs/>
                <w:sz w:val="23"/>
              </w:rPr>
              <w:t>Grant in…</w:t>
            </w:r>
          </w:p>
        </w:tc>
        <w:tc>
          <w:tcPr>
            <w:tcW w:w="5400" w:type="dxa"/>
            <w:gridSpan w:val="5"/>
            <w:tcBorders>
              <w:top w:val="single" w:sz="12" w:space="0" w:color="008000"/>
              <w:bottom w:val="single" w:sz="6" w:space="0" w:color="008000"/>
            </w:tcBorders>
            <w:shd w:fill="BFBFBF" w:val="clear"/>
          </w:tcPr>
          <w:p>
            <w:pPr>
              <w:pStyle w:val="Heading4"/>
              <w:ind w:hanging="0" w:start="0"/>
              <w:rPr/>
            </w:pPr>
            <w:r>
              <w:rPr/>
              <w:t>Then This Percentage of Your Options Vest on…</w:t>
            </w:r>
          </w:p>
          <w:p>
            <w:pPr>
              <w:pStyle w:val="Normal"/>
              <w:jc w:val="both"/>
              <w:rPr>
                <w:b/>
                <w:bCs/>
                <w:sz w:val="23"/>
              </w:rPr>
            </w:pPr>
            <w:r>
              <w:rPr>
                <w:b/>
                <w:bCs/>
                <w:sz w:val="23"/>
              </w:rPr>
            </w:r>
          </w:p>
          <w:p>
            <w:pPr>
              <w:pStyle w:val="Normal"/>
              <w:jc w:val="both"/>
              <w:rPr>
                <w:b/>
                <w:bCs/>
                <w:sz w:val="23"/>
              </w:rPr>
            </w:pPr>
            <w:r>
              <w:rPr>
                <w:b/>
                <w:bCs/>
                <w:sz w:val="23"/>
              </w:rPr>
              <w:t>6/30/01       6/30/02       6/30/03       6/30/04      6/30/05</w:t>
            </w:r>
          </w:p>
        </w:tc>
      </w:tr>
      <w:tr>
        <w:trPr/>
        <w:tc>
          <w:tcPr>
            <w:tcW w:w="2160" w:type="dxa"/>
            <w:tcBorders>
              <w:top w:val="single" w:sz="6" w:space="0" w:color="008000"/>
            </w:tcBorders>
          </w:tcPr>
          <w:p>
            <w:pPr>
              <w:pStyle w:val="Normal"/>
              <w:jc w:val="both"/>
              <w:rPr>
                <w:sz w:val="23"/>
              </w:rPr>
            </w:pPr>
            <w:r>
              <w:rPr>
                <w:sz w:val="23"/>
              </w:rPr>
              <w:t>2000</w:t>
            </w:r>
          </w:p>
        </w:tc>
        <w:tc>
          <w:tcPr>
            <w:tcW w:w="1080" w:type="dxa"/>
            <w:tcBorders>
              <w:top w:val="single" w:sz="6" w:space="0" w:color="008000"/>
            </w:tcBorders>
          </w:tcPr>
          <w:p>
            <w:pPr>
              <w:pStyle w:val="Normal"/>
              <w:jc w:val="center"/>
              <w:rPr>
                <w:sz w:val="23"/>
              </w:rPr>
            </w:pPr>
            <w:r>
              <w:rPr>
                <w:sz w:val="23"/>
              </w:rPr>
              <w:t>20%</w:t>
            </w:r>
          </w:p>
        </w:tc>
        <w:tc>
          <w:tcPr>
            <w:tcW w:w="1080" w:type="dxa"/>
            <w:tcBorders>
              <w:top w:val="single" w:sz="6" w:space="0" w:color="008000"/>
            </w:tcBorders>
          </w:tcPr>
          <w:p>
            <w:pPr>
              <w:pStyle w:val="Normal"/>
              <w:jc w:val="center"/>
              <w:rPr>
                <w:sz w:val="23"/>
              </w:rPr>
            </w:pPr>
            <w:r>
              <w:rPr>
                <w:sz w:val="23"/>
              </w:rPr>
              <w:t>20%</w:t>
            </w:r>
          </w:p>
        </w:tc>
        <w:tc>
          <w:tcPr>
            <w:tcW w:w="1080" w:type="dxa"/>
            <w:tcBorders>
              <w:top w:val="single" w:sz="6" w:space="0" w:color="008000"/>
            </w:tcBorders>
          </w:tcPr>
          <w:p>
            <w:pPr>
              <w:pStyle w:val="Normal"/>
              <w:jc w:val="center"/>
              <w:rPr>
                <w:sz w:val="23"/>
              </w:rPr>
            </w:pPr>
            <w:r>
              <w:rPr>
                <w:sz w:val="23"/>
              </w:rPr>
              <w:t>20%</w:t>
            </w:r>
          </w:p>
        </w:tc>
        <w:tc>
          <w:tcPr>
            <w:tcW w:w="1080" w:type="dxa"/>
            <w:tcBorders>
              <w:top w:val="single" w:sz="6" w:space="0" w:color="008000"/>
            </w:tcBorders>
          </w:tcPr>
          <w:p>
            <w:pPr>
              <w:pStyle w:val="Normal"/>
              <w:jc w:val="center"/>
              <w:rPr>
                <w:sz w:val="23"/>
              </w:rPr>
            </w:pPr>
            <w:r>
              <w:rPr>
                <w:sz w:val="23"/>
              </w:rPr>
              <w:t>20%</w:t>
            </w:r>
          </w:p>
        </w:tc>
        <w:tc>
          <w:tcPr>
            <w:tcW w:w="1080" w:type="dxa"/>
            <w:tcBorders>
              <w:top w:val="single" w:sz="6" w:space="0" w:color="008000"/>
            </w:tcBorders>
          </w:tcPr>
          <w:p>
            <w:pPr>
              <w:pStyle w:val="Normal"/>
              <w:jc w:val="center"/>
              <w:rPr>
                <w:sz w:val="23"/>
              </w:rPr>
            </w:pPr>
            <w:r>
              <w:rPr>
                <w:sz w:val="23"/>
              </w:rPr>
              <w:t>20%</w:t>
            </w:r>
          </w:p>
        </w:tc>
      </w:tr>
      <w:tr>
        <w:trPr/>
        <w:tc>
          <w:tcPr>
            <w:tcW w:w="2160" w:type="dxa"/>
            <w:tcBorders/>
            <w:shd w:fill="CCCCCC" w:val="clear"/>
          </w:tcPr>
          <w:p>
            <w:pPr>
              <w:pStyle w:val="Normal"/>
              <w:jc w:val="both"/>
              <w:rPr>
                <w:sz w:val="23"/>
              </w:rPr>
            </w:pPr>
            <w:r>
              <w:rPr>
                <w:sz w:val="23"/>
              </w:rPr>
              <w:t>2001</w:t>
            </w:r>
          </w:p>
        </w:tc>
        <w:tc>
          <w:tcPr>
            <w:tcW w:w="1080" w:type="dxa"/>
            <w:tcBorders/>
            <w:shd w:fill="CCCCCC" w:val="clear"/>
          </w:tcPr>
          <w:p>
            <w:pPr>
              <w:pStyle w:val="Normal"/>
              <w:snapToGrid w:val="false"/>
              <w:jc w:val="center"/>
              <w:rPr>
                <w:sz w:val="23"/>
              </w:rPr>
            </w:pPr>
            <w:r>
              <w:rPr>
                <w:sz w:val="23"/>
              </w:rPr>
            </w:r>
          </w:p>
        </w:tc>
        <w:tc>
          <w:tcPr>
            <w:tcW w:w="1080" w:type="dxa"/>
            <w:tcBorders/>
            <w:shd w:fill="CCCCCC" w:val="clear"/>
          </w:tcPr>
          <w:p>
            <w:pPr>
              <w:pStyle w:val="Normal"/>
              <w:jc w:val="center"/>
              <w:rPr>
                <w:sz w:val="23"/>
              </w:rPr>
            </w:pPr>
            <w:r>
              <w:rPr>
                <w:sz w:val="23"/>
              </w:rPr>
              <w:t>25%</w:t>
            </w:r>
          </w:p>
        </w:tc>
        <w:tc>
          <w:tcPr>
            <w:tcW w:w="1080" w:type="dxa"/>
            <w:tcBorders/>
            <w:shd w:fill="CCCCCC" w:val="clear"/>
          </w:tcPr>
          <w:p>
            <w:pPr>
              <w:pStyle w:val="Normal"/>
              <w:jc w:val="center"/>
              <w:rPr>
                <w:sz w:val="23"/>
              </w:rPr>
            </w:pPr>
            <w:r>
              <w:rPr>
                <w:sz w:val="23"/>
              </w:rPr>
              <w:t>25%</w:t>
            </w:r>
          </w:p>
        </w:tc>
        <w:tc>
          <w:tcPr>
            <w:tcW w:w="1080" w:type="dxa"/>
            <w:tcBorders/>
            <w:shd w:fill="CCCCCC" w:val="clear"/>
          </w:tcPr>
          <w:p>
            <w:pPr>
              <w:pStyle w:val="Normal"/>
              <w:jc w:val="center"/>
              <w:rPr>
                <w:sz w:val="23"/>
              </w:rPr>
            </w:pPr>
            <w:r>
              <w:rPr>
                <w:sz w:val="23"/>
              </w:rPr>
              <w:t>25%</w:t>
            </w:r>
          </w:p>
        </w:tc>
        <w:tc>
          <w:tcPr>
            <w:tcW w:w="1080" w:type="dxa"/>
            <w:tcBorders/>
            <w:shd w:fill="CCCCCC" w:val="clear"/>
          </w:tcPr>
          <w:p>
            <w:pPr>
              <w:pStyle w:val="Normal"/>
              <w:jc w:val="center"/>
              <w:rPr>
                <w:sz w:val="23"/>
              </w:rPr>
            </w:pPr>
            <w:r>
              <w:rPr>
                <w:sz w:val="23"/>
              </w:rPr>
              <w:t>25%</w:t>
            </w:r>
          </w:p>
        </w:tc>
      </w:tr>
      <w:tr>
        <w:trPr/>
        <w:tc>
          <w:tcPr>
            <w:tcW w:w="2160" w:type="dxa"/>
            <w:tcBorders/>
          </w:tcPr>
          <w:p>
            <w:pPr>
              <w:pStyle w:val="Normal"/>
              <w:jc w:val="both"/>
              <w:rPr>
                <w:sz w:val="23"/>
              </w:rPr>
            </w:pPr>
            <w:r>
              <w:rPr>
                <w:sz w:val="23"/>
              </w:rPr>
              <w:t>2002</w:t>
            </w:r>
          </w:p>
        </w:tc>
        <w:tc>
          <w:tcPr>
            <w:tcW w:w="1080" w:type="dxa"/>
            <w:tcBorders/>
          </w:tcPr>
          <w:p>
            <w:pPr>
              <w:pStyle w:val="Normal"/>
              <w:snapToGrid w:val="false"/>
              <w:jc w:val="center"/>
              <w:rPr>
                <w:sz w:val="23"/>
              </w:rPr>
            </w:pPr>
            <w:r>
              <w:rPr>
                <w:sz w:val="23"/>
              </w:rPr>
            </w:r>
          </w:p>
        </w:tc>
        <w:tc>
          <w:tcPr>
            <w:tcW w:w="1080" w:type="dxa"/>
            <w:tcBorders/>
          </w:tcPr>
          <w:p>
            <w:pPr>
              <w:pStyle w:val="Normal"/>
              <w:snapToGrid w:val="false"/>
              <w:jc w:val="center"/>
              <w:rPr>
                <w:sz w:val="23"/>
              </w:rPr>
            </w:pPr>
            <w:r>
              <w:rPr>
                <w:sz w:val="23"/>
              </w:rPr>
            </w:r>
          </w:p>
        </w:tc>
        <w:tc>
          <w:tcPr>
            <w:tcW w:w="1080" w:type="dxa"/>
            <w:tcBorders/>
          </w:tcPr>
          <w:p>
            <w:pPr>
              <w:pStyle w:val="Normal"/>
              <w:jc w:val="center"/>
              <w:rPr/>
            </w:pPr>
            <w:r>
              <w:rPr>
                <w:sz w:val="23"/>
              </w:rPr>
              <w:t xml:space="preserve">   </w:t>
            </w:r>
            <w:r>
              <w:rPr>
                <w:sz w:val="23"/>
              </w:rPr>
              <w:t>33</w:t>
            </w:r>
            <w:r>
              <w:rPr>
                <w:sz w:val="23"/>
                <w:vertAlign w:val="superscript"/>
              </w:rPr>
              <w:t>1</w:t>
            </w:r>
            <w:r>
              <w:rPr>
                <w:sz w:val="23"/>
              </w:rPr>
              <w:t>/</w:t>
            </w:r>
            <w:r>
              <w:rPr>
                <w:sz w:val="23"/>
                <w:vertAlign w:val="subscript"/>
              </w:rPr>
              <w:t>3</w:t>
            </w:r>
            <w:r>
              <w:rPr>
                <w:sz w:val="23"/>
              </w:rPr>
              <w:t>%</w:t>
            </w:r>
          </w:p>
        </w:tc>
        <w:tc>
          <w:tcPr>
            <w:tcW w:w="1080" w:type="dxa"/>
            <w:tcBorders/>
          </w:tcPr>
          <w:p>
            <w:pPr>
              <w:pStyle w:val="Normal"/>
              <w:jc w:val="center"/>
              <w:rPr/>
            </w:pPr>
            <w:r>
              <w:rPr>
                <w:sz w:val="23"/>
              </w:rPr>
              <w:t xml:space="preserve">   </w:t>
            </w:r>
            <w:r>
              <w:rPr>
                <w:sz w:val="23"/>
              </w:rPr>
              <w:t>33</w:t>
            </w:r>
            <w:r>
              <w:rPr>
                <w:sz w:val="23"/>
                <w:vertAlign w:val="superscript"/>
              </w:rPr>
              <w:t>1</w:t>
            </w:r>
            <w:r>
              <w:rPr>
                <w:sz w:val="23"/>
              </w:rPr>
              <w:t>/</w:t>
            </w:r>
            <w:r>
              <w:rPr>
                <w:sz w:val="23"/>
                <w:vertAlign w:val="subscript"/>
              </w:rPr>
              <w:t>3</w:t>
            </w:r>
            <w:r>
              <w:rPr>
                <w:sz w:val="23"/>
              </w:rPr>
              <w:t>%</w:t>
            </w:r>
          </w:p>
        </w:tc>
        <w:tc>
          <w:tcPr>
            <w:tcW w:w="1080" w:type="dxa"/>
            <w:tcBorders/>
          </w:tcPr>
          <w:p>
            <w:pPr>
              <w:pStyle w:val="Normal"/>
              <w:jc w:val="center"/>
              <w:rPr/>
            </w:pPr>
            <w:r>
              <w:rPr>
                <w:sz w:val="23"/>
              </w:rPr>
              <w:t xml:space="preserve">   </w:t>
            </w:r>
            <w:r>
              <w:rPr>
                <w:sz w:val="23"/>
              </w:rPr>
              <w:t>33</w:t>
            </w:r>
            <w:r>
              <w:rPr>
                <w:sz w:val="23"/>
                <w:vertAlign w:val="superscript"/>
              </w:rPr>
              <w:t>1</w:t>
            </w:r>
            <w:r>
              <w:rPr>
                <w:sz w:val="23"/>
              </w:rPr>
              <w:t>/</w:t>
            </w:r>
            <w:r>
              <w:rPr>
                <w:sz w:val="23"/>
                <w:vertAlign w:val="subscript"/>
              </w:rPr>
              <w:t>3</w:t>
            </w:r>
            <w:r>
              <w:rPr>
                <w:sz w:val="23"/>
              </w:rPr>
              <w:t>%</w:t>
            </w:r>
          </w:p>
        </w:tc>
      </w:tr>
      <w:tr>
        <w:trPr/>
        <w:tc>
          <w:tcPr>
            <w:tcW w:w="2160" w:type="dxa"/>
            <w:tcBorders/>
            <w:shd w:fill="CCCCCC" w:val="clear"/>
          </w:tcPr>
          <w:p>
            <w:pPr>
              <w:pStyle w:val="Normal"/>
              <w:jc w:val="both"/>
              <w:rPr>
                <w:sz w:val="23"/>
              </w:rPr>
            </w:pPr>
            <w:r>
              <w:rPr>
                <w:sz w:val="23"/>
              </w:rPr>
              <w:t>2003</w:t>
            </w:r>
          </w:p>
        </w:tc>
        <w:tc>
          <w:tcPr>
            <w:tcW w:w="1080" w:type="dxa"/>
            <w:tcBorders/>
            <w:shd w:fill="CCCCCC" w:val="clear"/>
          </w:tcPr>
          <w:p>
            <w:pPr>
              <w:pStyle w:val="Normal"/>
              <w:snapToGrid w:val="false"/>
              <w:jc w:val="center"/>
              <w:rPr>
                <w:sz w:val="23"/>
              </w:rPr>
            </w:pPr>
            <w:r>
              <w:rPr>
                <w:sz w:val="23"/>
              </w:rPr>
            </w:r>
          </w:p>
        </w:tc>
        <w:tc>
          <w:tcPr>
            <w:tcW w:w="1080" w:type="dxa"/>
            <w:tcBorders/>
            <w:shd w:fill="CCCCCC" w:val="clear"/>
          </w:tcPr>
          <w:p>
            <w:pPr>
              <w:pStyle w:val="Normal"/>
              <w:snapToGrid w:val="false"/>
              <w:jc w:val="center"/>
              <w:rPr>
                <w:sz w:val="23"/>
              </w:rPr>
            </w:pPr>
            <w:r>
              <w:rPr>
                <w:sz w:val="23"/>
              </w:rPr>
            </w:r>
          </w:p>
        </w:tc>
        <w:tc>
          <w:tcPr>
            <w:tcW w:w="1080" w:type="dxa"/>
            <w:tcBorders/>
            <w:shd w:fill="CCCCCC" w:val="clear"/>
          </w:tcPr>
          <w:p>
            <w:pPr>
              <w:pStyle w:val="Normal"/>
              <w:snapToGrid w:val="false"/>
              <w:jc w:val="center"/>
              <w:rPr>
                <w:sz w:val="23"/>
              </w:rPr>
            </w:pPr>
            <w:r>
              <w:rPr>
                <w:sz w:val="23"/>
              </w:rPr>
            </w:r>
          </w:p>
        </w:tc>
        <w:tc>
          <w:tcPr>
            <w:tcW w:w="1080" w:type="dxa"/>
            <w:tcBorders/>
            <w:shd w:fill="CCCCCC" w:val="clear"/>
          </w:tcPr>
          <w:p>
            <w:pPr>
              <w:pStyle w:val="Normal"/>
              <w:jc w:val="center"/>
              <w:rPr>
                <w:sz w:val="23"/>
              </w:rPr>
            </w:pPr>
            <w:r>
              <w:rPr>
                <w:sz w:val="23"/>
              </w:rPr>
              <w:t>50%</w:t>
            </w:r>
          </w:p>
        </w:tc>
        <w:tc>
          <w:tcPr>
            <w:tcW w:w="1080" w:type="dxa"/>
            <w:tcBorders/>
            <w:shd w:fill="CCCCCC" w:val="clear"/>
          </w:tcPr>
          <w:p>
            <w:pPr>
              <w:pStyle w:val="Normal"/>
              <w:jc w:val="center"/>
              <w:rPr>
                <w:sz w:val="23"/>
              </w:rPr>
            </w:pPr>
            <w:r>
              <w:rPr>
                <w:sz w:val="23"/>
              </w:rPr>
              <w:t>50%</w:t>
            </w:r>
          </w:p>
        </w:tc>
      </w:tr>
      <w:tr>
        <w:trPr/>
        <w:tc>
          <w:tcPr>
            <w:tcW w:w="2160" w:type="dxa"/>
            <w:tcBorders>
              <w:bottom w:val="single" w:sz="12" w:space="0" w:color="008000"/>
            </w:tcBorders>
          </w:tcPr>
          <w:p>
            <w:pPr>
              <w:pStyle w:val="Normal"/>
              <w:jc w:val="both"/>
              <w:rPr>
                <w:sz w:val="23"/>
              </w:rPr>
            </w:pPr>
            <w:r>
              <w:rPr>
                <w:sz w:val="23"/>
              </w:rPr>
              <w:t>2004</w:t>
            </w:r>
          </w:p>
        </w:tc>
        <w:tc>
          <w:tcPr>
            <w:tcW w:w="1080" w:type="dxa"/>
            <w:tcBorders>
              <w:bottom w:val="single" w:sz="12" w:space="0" w:color="008000"/>
            </w:tcBorders>
          </w:tcPr>
          <w:p>
            <w:pPr>
              <w:pStyle w:val="Normal"/>
              <w:snapToGrid w:val="false"/>
              <w:jc w:val="center"/>
              <w:rPr>
                <w:sz w:val="23"/>
              </w:rPr>
            </w:pPr>
            <w:r>
              <w:rPr>
                <w:sz w:val="23"/>
              </w:rPr>
            </w:r>
          </w:p>
        </w:tc>
        <w:tc>
          <w:tcPr>
            <w:tcW w:w="1080" w:type="dxa"/>
            <w:tcBorders>
              <w:bottom w:val="single" w:sz="12" w:space="0" w:color="008000"/>
            </w:tcBorders>
          </w:tcPr>
          <w:p>
            <w:pPr>
              <w:pStyle w:val="Normal"/>
              <w:snapToGrid w:val="false"/>
              <w:jc w:val="center"/>
              <w:rPr>
                <w:sz w:val="23"/>
              </w:rPr>
            </w:pPr>
            <w:r>
              <w:rPr>
                <w:sz w:val="23"/>
              </w:rPr>
            </w:r>
          </w:p>
        </w:tc>
        <w:tc>
          <w:tcPr>
            <w:tcW w:w="1080" w:type="dxa"/>
            <w:tcBorders>
              <w:bottom w:val="single" w:sz="12" w:space="0" w:color="008000"/>
            </w:tcBorders>
          </w:tcPr>
          <w:p>
            <w:pPr>
              <w:pStyle w:val="Normal"/>
              <w:snapToGrid w:val="false"/>
              <w:jc w:val="center"/>
              <w:rPr>
                <w:sz w:val="23"/>
              </w:rPr>
            </w:pPr>
            <w:r>
              <w:rPr>
                <w:sz w:val="23"/>
              </w:rPr>
            </w:r>
          </w:p>
        </w:tc>
        <w:tc>
          <w:tcPr>
            <w:tcW w:w="1080" w:type="dxa"/>
            <w:tcBorders>
              <w:bottom w:val="single" w:sz="12" w:space="0" w:color="008000"/>
            </w:tcBorders>
          </w:tcPr>
          <w:p>
            <w:pPr>
              <w:pStyle w:val="Normal"/>
              <w:snapToGrid w:val="false"/>
              <w:jc w:val="center"/>
              <w:rPr>
                <w:sz w:val="23"/>
              </w:rPr>
            </w:pPr>
            <w:r>
              <w:rPr>
                <w:sz w:val="23"/>
              </w:rPr>
            </w:r>
          </w:p>
        </w:tc>
        <w:tc>
          <w:tcPr>
            <w:tcW w:w="1080" w:type="dxa"/>
            <w:tcBorders>
              <w:bottom w:val="single" w:sz="12" w:space="0" w:color="008000"/>
            </w:tcBorders>
          </w:tcPr>
          <w:p>
            <w:pPr>
              <w:pStyle w:val="Normal"/>
              <w:jc w:val="center"/>
              <w:rPr>
                <w:sz w:val="23"/>
              </w:rPr>
            </w:pPr>
            <w:r>
              <w:rPr>
                <w:sz w:val="23"/>
              </w:rPr>
              <w:t>100%</w:t>
            </w:r>
          </w:p>
        </w:tc>
      </w:tr>
    </w:tbl>
    <w:p>
      <w:pPr>
        <w:pStyle w:val="Normal"/>
        <w:jc w:val="both"/>
        <w:rPr>
          <w:sz w:val="23"/>
        </w:rPr>
      </w:pPr>
      <w:r>
        <w:rPr>
          <w:sz w:val="23"/>
        </w:rPr>
      </w:r>
    </w:p>
    <w:p>
      <w:pPr>
        <w:pStyle w:val="Normal"/>
        <w:numPr>
          <w:ilvl w:val="0"/>
          <w:numId w:val="7"/>
        </w:numPr>
        <w:jc w:val="both"/>
        <w:rPr>
          <w:sz w:val="23"/>
        </w:rPr>
      </w:pPr>
      <w:r>
        <w:rPr>
          <w:sz w:val="23"/>
        </w:rPr>
        <w:t>The number of options will be determined using a valuation methodology utilized by the Committee in making such awards.</w:t>
      </w:r>
    </w:p>
    <w:p>
      <w:pPr>
        <w:pStyle w:val="Normal"/>
        <w:jc w:val="both"/>
        <w:rPr>
          <w:sz w:val="23"/>
        </w:rPr>
      </w:pPr>
      <w:r>
        <w:rPr>
          <w:sz w:val="23"/>
        </w:rPr>
      </w:r>
    </w:p>
    <w:p>
      <w:pPr>
        <w:pStyle w:val="BodyTextIndent"/>
        <w:ind w:hanging="0" w:end="0"/>
        <w:rPr/>
      </w:pPr>
      <w:r>
        <w:rPr/>
        <w:t>Awards will be governed by the terms and provisions of the applicable Stock Plan and Program as approved by the Committee in its final form.  In addition to final approval by Enron’s Board of Directors, granting of options will be subject to New York Stock Exchange and applicable state and federal regulatory requirements.  Should you become an employee of Enron Corp. or one of its affiliated companies whose employees are determined to be eligible to participate in the Program, you will receive more information about this grant throughout your year of hire.</w:t>
      </w:r>
    </w:p>
    <w:p>
      <w:pPr>
        <w:pStyle w:val="Normal"/>
        <w:jc w:val="both"/>
        <w:rPr>
          <w:sz w:val="23"/>
        </w:rPr>
      </w:pPr>
      <w:r>
        <w:rPr>
          <w:sz w:val="23"/>
        </w:rPr>
      </w:r>
    </w:p>
    <w:p>
      <w:pPr>
        <w:pStyle w:val="Normal"/>
        <w:jc w:val="both"/>
        <w:rPr>
          <w:sz w:val="23"/>
        </w:rPr>
      </w:pPr>
      <w:r>
        <w:rPr>
          <w:sz w:val="23"/>
          <w:u w:val="single"/>
        </w:rPr>
        <w:t>Savings Plan</w:t>
      </w:r>
    </w:p>
    <w:p>
      <w:pPr>
        <w:pStyle w:val="Normal"/>
        <w:jc w:val="both"/>
        <w:rPr>
          <w:sz w:val="23"/>
        </w:rPr>
      </w:pPr>
      <w:r>
        <w:rPr>
          <w:sz w:val="23"/>
        </w:rPr>
      </w:r>
    </w:p>
    <w:p>
      <w:pPr>
        <w:pStyle w:val="Normal"/>
        <w:jc w:val="both"/>
        <w:rPr>
          <w:sz w:val="23"/>
        </w:rPr>
      </w:pPr>
      <w:r>
        <w:rPr>
          <w:sz w:val="23"/>
        </w:rPr>
        <w:t>The Enron Corp. Savings Plan allows you to contribute up to a total of 15% of your base salary on a before-tax/or after-tax basis to several investment options.  Enron will match your before-tax Savings Plan contribution at a rate of $.50 on the $1.00 up to 6% of your monthly base pay.  This company matching contribution will be invested in the company stock fund, and you will be 100% vested in the matching contribution after one year of service.  You are eligible to participate in the Savings Plan on the first day of the month following your date of employment.  An enrollment packet will be sent to your home within 2 – 4 weeks of your date of employment.</w:t>
      </w:r>
    </w:p>
    <w:p>
      <w:pPr>
        <w:pStyle w:val="Normal"/>
        <w:jc w:val="both"/>
        <w:rPr>
          <w:sz w:val="23"/>
        </w:rPr>
      </w:pPr>
      <w:r>
        <w:rPr>
          <w:sz w:val="23"/>
        </w:rPr>
      </w:r>
    </w:p>
    <w:p>
      <w:pPr>
        <w:pStyle w:val="Heading5"/>
        <w:ind w:hanging="0" w:start="0"/>
        <w:rPr/>
      </w:pPr>
      <w:r>
        <w:rPr/>
        <w:t>Cash Balance Plan</w:t>
      </w:r>
    </w:p>
    <w:p>
      <w:pPr>
        <w:pStyle w:val="Normal"/>
        <w:jc w:val="both"/>
        <w:rPr>
          <w:sz w:val="23"/>
        </w:rPr>
      </w:pPr>
      <w:r>
        <w:rPr>
          <w:sz w:val="23"/>
        </w:rPr>
      </w:r>
    </w:p>
    <w:p>
      <w:pPr>
        <w:pStyle w:val="BodyText2"/>
        <w:rPr/>
      </w:pPr>
      <w:r>
        <w:rPr/>
        <w:t>You will begin participation in the Enron Corp. Cash Balance Plan on the January 1 after your date of hire.  After 5 years of service, you will be 100% vested in your cash balance account. Enron contributes an amount equal to 5% of your annual base pay to your cash balance account at the end of each year.  This balance earns monthly interest based on average 10-year Treasury bond yields.  Details on the Enron Cash Balance Plan will be provided at New Hire Orientation.</w:t>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Heading5"/>
        <w:ind w:hanging="0" w:start="0"/>
        <w:rPr/>
      </w:pPr>
      <w:r>
        <w:rPr/>
        <w:t>Vacation</w:t>
      </w:r>
    </w:p>
    <w:p>
      <w:pPr>
        <w:pStyle w:val="Normal"/>
        <w:jc w:val="both"/>
        <w:rPr>
          <w:sz w:val="23"/>
        </w:rPr>
      </w:pPr>
      <w:r>
        <w:rPr>
          <w:sz w:val="23"/>
        </w:rPr>
      </w:r>
    </w:p>
    <w:p>
      <w:pPr>
        <w:pStyle w:val="Normal"/>
        <w:jc w:val="both"/>
        <w:rPr/>
      </w:pPr>
      <w:r>
        <w:rPr>
          <w:sz w:val="23"/>
        </w:rPr>
        <w:t>You will accrue ten (10) hours of vacation per month for each full calendar month of employment completed in 2002</w:t>
      </w:r>
      <w:r>
        <w:rPr>
          <w:color w:val="FF6600"/>
          <w:sz w:val="23"/>
        </w:rPr>
        <w:t xml:space="preserve">.  </w:t>
      </w:r>
      <w:r>
        <w:rPr>
          <w:sz w:val="23"/>
        </w:rPr>
        <w:t>In the beginning of the next calendar year, you will be eligible to receive three (3) weeks of vacation per year.  Vacation amounts are governed by Enron Corp.’s vacation policy.</w:t>
      </w:r>
    </w:p>
    <w:p>
      <w:pPr>
        <w:pStyle w:val="Normal"/>
        <w:jc w:val="both"/>
        <w:rPr>
          <w:sz w:val="23"/>
        </w:rPr>
      </w:pPr>
      <w:r>
        <w:rPr>
          <w:sz w:val="23"/>
        </w:rPr>
      </w:r>
    </w:p>
    <w:p>
      <w:pPr>
        <w:pStyle w:val="Heading5"/>
        <w:ind w:hanging="0" w:start="0"/>
        <w:rPr/>
      </w:pPr>
      <w:r>
        <w:rPr/>
        <w:t>Holidays</w:t>
      </w:r>
    </w:p>
    <w:p>
      <w:pPr>
        <w:pStyle w:val="Normal"/>
        <w:jc w:val="both"/>
        <w:rPr>
          <w:sz w:val="23"/>
        </w:rPr>
      </w:pPr>
      <w:r>
        <w:rPr>
          <w:sz w:val="23"/>
        </w:rPr>
      </w:r>
    </w:p>
    <w:p>
      <w:pPr>
        <w:pStyle w:val="BodyText2"/>
        <w:rPr/>
      </w:pPr>
      <w:r>
        <w:rPr/>
        <w:t>Enron has eleven (11) scheduled holidays per year.  One of these is a floating holiday, which you must take at your discretion before the end of the year.</w:t>
      </w:r>
    </w:p>
    <w:p>
      <w:pPr>
        <w:pStyle w:val="Normal"/>
        <w:jc w:val="both"/>
        <w:rPr>
          <w:sz w:val="23"/>
        </w:rPr>
      </w:pPr>
      <w:r>
        <w:rPr>
          <w:sz w:val="23"/>
        </w:rPr>
      </w:r>
    </w:p>
    <w:p>
      <w:pPr>
        <w:pStyle w:val="Heading4"/>
        <w:ind w:hanging="0" w:start="0"/>
        <w:rPr/>
      </w:pPr>
      <w:r>
        <w:rPr/>
        <w:t>B.</w:t>
        <w:tab/>
        <w:t>SIGN ON BONUS</w:t>
      </w:r>
    </w:p>
    <w:p>
      <w:pPr>
        <w:pStyle w:val="Heading4"/>
        <w:ind w:hanging="0" w:start="0"/>
        <w:rPr>
          <w:b w:val="false"/>
          <w:bCs w:val="false"/>
        </w:rPr>
      </w:pPr>
      <w:r>
        <w:rPr>
          <w:b w:val="false"/>
          <w:bCs w:val="false"/>
        </w:rPr>
      </w:r>
    </w:p>
    <w:p>
      <w:pPr>
        <w:pStyle w:val="Heading4"/>
        <w:ind w:hanging="0" w:start="0"/>
        <w:rPr>
          <w:b w:val="false"/>
          <w:bCs w:val="false"/>
        </w:rPr>
      </w:pPr>
      <w:r>
        <w:rPr>
          <w:b w:val="false"/>
          <w:bCs w:val="false"/>
        </w:rPr>
        <w:t>The sign-on bonus will be paid in a lump sum within ten (10) days of your start date provided that (i) you pass your pre-employment drug test; (ii) reference checks and verification of degree and GPA are attainable and satisfactory; and (iii) you are authorized to work in the United States. This payment will be due in full to Enron if (i) within 72 hours of your employment by the Company, you do not provide necessary documentation authorizing your eligibility to work in the United States; or (ii) you terminate your employment with Enron, for any reason, prior to eighteen months of service</w:t>
      </w:r>
    </w:p>
    <w:p>
      <w:pPr>
        <w:pStyle w:val="Normal"/>
        <w:rPr>
          <w:b/>
          <w:bCs/>
        </w:rPr>
      </w:pPr>
      <w:r>
        <w:rPr>
          <w:b/>
          <w:bCs/>
        </w:rPr>
      </w:r>
    </w:p>
    <w:p>
      <w:pPr>
        <w:pStyle w:val="Heading4"/>
        <w:ind w:hanging="0" w:start="0"/>
        <w:rPr/>
      </w:pPr>
      <w:r>
        <w:rPr/>
        <w:t>C.</w:t>
        <w:tab/>
        <w:t>SIGN ON OPTIONS</w:t>
      </w:r>
    </w:p>
    <w:p>
      <w:pPr>
        <w:pStyle w:val="Heading4"/>
        <w:ind w:hanging="0" w:start="0"/>
        <w:rPr/>
      </w:pPr>
      <w:r>
        <w:rPr/>
      </w:r>
    </w:p>
    <w:p>
      <w:pPr>
        <w:pStyle w:val="Normal"/>
        <w:rPr/>
      </w:pPr>
      <w:r>
        <w:rPr>
          <w:sz w:val="22"/>
        </w:rPr>
        <w:t xml:space="preserve">Subject to and effective upon the approval by the Administrative Committee (comprised of members of the Office of the Chairman), after the date of hire, employee shall receive a stock option award with the value of </w:t>
      </w:r>
      <w:r>
        <w:rPr>
          <w:b/>
          <w:bCs/>
          <w:sz w:val="22"/>
        </w:rPr>
        <w:t>$10,000.00</w:t>
      </w:r>
      <w:r>
        <w:rPr>
          <w:sz w:val="22"/>
        </w:rPr>
        <w:t>. Such award shall vest 33% on the first, second, and third anniversary of the grant date and shall have a five-year term. Such stock awards shall be made pursuant to the appropriate Enron Corp. Stock Plan as determined by the Administrative Committee. The exercise price for grants of stock options shall be determined according to the provisions of the Stock Plan under which the award is granted, on the first business day of the month following approval by the Administrative committee.</w:t>
      </w:r>
    </w:p>
    <w:p>
      <w:pPr>
        <w:pStyle w:val="Heading4"/>
        <w:ind w:hanging="0" w:start="0"/>
        <w:rPr>
          <w:sz w:val="22"/>
        </w:rPr>
      </w:pPr>
      <w:r>
        <w:rPr>
          <w:sz w:val="22"/>
        </w:rPr>
      </w:r>
    </w:p>
    <w:p>
      <w:pPr>
        <w:pStyle w:val="Heading4"/>
        <w:ind w:hanging="0" w:start="0"/>
        <w:rPr/>
      </w:pPr>
      <w:r>
        <w:rPr/>
        <w:t>D.</w:t>
        <w:tab/>
        <w:t>PERFORMANCE BONUS</w:t>
      </w:r>
    </w:p>
    <w:p>
      <w:pPr>
        <w:pStyle w:val="Normal"/>
        <w:jc w:val="both"/>
        <w:rPr>
          <w:sz w:val="23"/>
        </w:rPr>
      </w:pPr>
      <w:r>
        <w:rPr>
          <w:sz w:val="23"/>
        </w:rPr>
      </w:r>
    </w:p>
    <w:p>
      <w:pPr>
        <w:pStyle w:val="BodyText2"/>
        <w:rPr/>
      </w:pPr>
      <w:r>
        <w:rPr/>
        <w:t>Beginning in 2002 you may be eligible to participate in the Enron Corp. Annual Incentive Bonus Plan (“Plan”) or any appropriate replacement Bonus plan.  Bonuses are determined in January/February for the previous year.  Bonus payments under the plan are discretionary, and are based on achievements of corporate and group profit goals and your performance.  All bonuses will be paid in accordance with the terms and provisions of the Plan, a portion of which may be paid in stock options and/or restricted stock.</w:t>
      </w:r>
    </w:p>
    <w:p>
      <w:pPr>
        <w:pStyle w:val="Normal"/>
        <w:jc w:val="both"/>
        <w:rPr>
          <w:b/>
          <w:bCs/>
          <w:sz w:val="23"/>
        </w:rPr>
      </w:pPr>
      <w:r>
        <w:rPr>
          <w:b/>
          <w:bCs/>
          <w:sz w:val="23"/>
        </w:rPr>
      </w:r>
    </w:p>
    <w:p>
      <w:pPr>
        <w:pStyle w:val="Heading6"/>
        <w:numPr>
          <w:ilvl w:val="0"/>
          <w:numId w:val="4"/>
        </w:numPr>
        <w:ind w:hanging="720" w:start="720" w:end="0"/>
        <w:rPr/>
      </w:pPr>
      <w:r>
        <w:rPr/>
        <w:t>NEW HIRE ORIENTATION</w:t>
      </w:r>
    </w:p>
    <w:p>
      <w:pPr>
        <w:pStyle w:val="Normal"/>
        <w:rPr/>
      </w:pPr>
      <w:r>
        <w:rPr/>
      </w:r>
    </w:p>
    <w:p>
      <w:pPr>
        <w:pStyle w:val="BodyText3"/>
        <w:jc w:val="both"/>
        <w:rPr/>
      </w:pPr>
      <w:r>
        <w:rPr/>
        <w:t xml:space="preserve">On your first day, you will join us at the </w:t>
      </w:r>
      <w:r>
        <w:rPr>
          <w:color w:val="FF0000"/>
        </w:rPr>
        <w:t>Doubletree Allen Center</w:t>
      </w:r>
      <w:r>
        <w:rPr/>
        <w:t xml:space="preserve"> for an eight (8) day orientation program.  The first day is largely administrative focusing on paperwork and the on-boarding process.  The following days will provide you with insight into the gas and power markets, an Enron overview, and workshops designed to enhance your technical skill sets through Enron-specific examples.  Please contact John Walt at 1(800) 97-ENRON extension 35379 or jwalt@enron.com.</w:t>
      </w:r>
    </w:p>
    <w:p>
      <w:pPr>
        <w:pStyle w:val="Normal"/>
        <w:jc w:val="both"/>
        <w:rPr>
          <w:sz w:val="23"/>
        </w:rPr>
      </w:pPr>
      <w:r>
        <w:rPr>
          <w:sz w:val="23"/>
        </w:rPr>
      </w:r>
    </w:p>
    <w:p>
      <w:pPr>
        <w:pStyle w:val="Heading1"/>
        <w:ind w:hanging="0" w:start="0"/>
        <w:rPr>
          <w:sz w:val="23"/>
        </w:rPr>
      </w:pPr>
      <w:r>
        <w:rPr>
          <w:sz w:val="23"/>
        </w:rPr>
        <w:t>F.</w:t>
        <w:tab/>
        <w:t>RELOCATION ASSISTANCE</w:t>
      </w:r>
    </w:p>
    <w:p>
      <w:pPr>
        <w:pStyle w:val="Normal"/>
        <w:jc w:val="both"/>
        <w:rPr>
          <w:sz w:val="23"/>
        </w:rPr>
      </w:pPr>
      <w:r>
        <w:rPr>
          <w:sz w:val="23"/>
        </w:rPr>
      </w:r>
    </w:p>
    <w:p>
      <w:pPr>
        <w:pStyle w:val="Normal"/>
        <w:jc w:val="both"/>
        <w:rPr>
          <w:sz w:val="23"/>
        </w:rPr>
      </w:pPr>
      <w:r>
        <w:rPr>
          <w:sz w:val="23"/>
        </w:rPr>
        <w:t>You will receive relocation benefits based on Enron’s Domestic Relocation Assistance Program, Tier 1-B.  Please see the attached Relocation Assistance Agreement for details.  For additional information or assistance, please contact either Deborah Kallus or Jeanne Seward at the Enron Relocation Assistance Department, by dialing 1(800) 97-ENRON extension 31426 for Deborah or extension 58696 for Jeanne.</w:t>
      </w:r>
    </w:p>
    <w:p>
      <w:pPr>
        <w:pStyle w:val="Normal"/>
        <w:jc w:val="both"/>
        <w:rPr>
          <w:sz w:val="23"/>
        </w:rPr>
      </w:pPr>
      <w:r>
        <w:rPr>
          <w:sz w:val="23"/>
        </w:rPr>
      </w:r>
    </w:p>
    <w:p>
      <w:pPr>
        <w:pStyle w:val="BodyText"/>
        <w:rPr>
          <w:b w:val="false"/>
          <w:bCs w:val="false"/>
        </w:rPr>
      </w:pPr>
      <w:r>
        <w:rPr/>
        <w:t>If you select Option 1, do not contact any van line company directly or make arrangement to receive estimates.</w:t>
      </w:r>
    </w:p>
    <w:p>
      <w:pPr>
        <w:pStyle w:val="Heading1"/>
        <w:ind w:hanging="0" w:start="0"/>
        <w:rPr>
          <w:b w:val="false"/>
          <w:bCs w:val="false"/>
          <w:sz w:val="23"/>
        </w:rPr>
      </w:pPr>
      <w:r>
        <w:rPr>
          <w:b w:val="false"/>
          <w:bCs w:val="false"/>
          <w:sz w:val="23"/>
        </w:rPr>
      </w:r>
    </w:p>
    <w:p>
      <w:pPr>
        <w:pStyle w:val="Heading1"/>
        <w:ind w:hanging="0" w:start="0"/>
        <w:rPr>
          <w:sz w:val="23"/>
        </w:rPr>
      </w:pPr>
      <w:r>
        <w:rPr>
          <w:sz w:val="23"/>
        </w:rPr>
        <w:t>G.</w:t>
        <w:tab/>
        <w:t>UNITED STATES EMPLOYMENT AUTHORIZATION</w:t>
      </w:r>
    </w:p>
    <w:p>
      <w:pPr>
        <w:pStyle w:val="Normal"/>
        <w:jc w:val="both"/>
        <w:rPr>
          <w:sz w:val="23"/>
        </w:rPr>
      </w:pPr>
      <w:r>
        <w:rPr>
          <w:sz w:val="23"/>
        </w:rPr>
      </w:r>
    </w:p>
    <w:p>
      <w:pPr>
        <w:pStyle w:val="Normal"/>
        <w:jc w:val="both"/>
        <w:rPr>
          <w:sz w:val="23"/>
        </w:rPr>
      </w:pPr>
      <w:r>
        <w:rPr>
          <w:sz w:val="23"/>
        </w:rPr>
        <w:t>Your offer of employment is contingent upon your ability to provide documents authorizing your eligibility to work in the United States, under the Immigration Reform and Control Act of 1986 (IRCA).  You must provide:  (i) one document from “List A” (identity and work authorization), or one document from “List B” (identity only), and (ii) one from “List C” (work authorization only) as shown on the enclosed Form I-9.  The document(s) will be inspected during your first day of work.  Documents must be originals or certified copies bearing an original certification seal or stamp.</w:t>
      </w:r>
    </w:p>
    <w:p>
      <w:pPr>
        <w:pStyle w:val="Normal"/>
        <w:jc w:val="both"/>
        <w:rPr>
          <w:sz w:val="23"/>
        </w:rPr>
      </w:pPr>
      <w:r>
        <w:rPr>
          <w:sz w:val="23"/>
        </w:rPr>
      </w:r>
    </w:p>
    <w:p>
      <w:pPr>
        <w:pStyle w:val="Normal"/>
        <w:jc w:val="both"/>
        <w:rPr>
          <w:sz w:val="23"/>
        </w:rPr>
      </w:pPr>
      <w:r>
        <w:rPr>
          <w:sz w:val="23"/>
        </w:rPr>
        <w:t>This verification process must be completed no later than three days after you begin employment.  If you need related assistance, contact Margaret Daffin at (713) 345-1529 as soon as possible before reporting to work.  Please understand that if you are unable to present the documents required by law to complete the Form I-9 within 72 hours of your start date, this employment offer will no longer be valid.  You may arrange with us to complete a Form I-9 before your hire date.</w:t>
      </w:r>
    </w:p>
    <w:p>
      <w:pPr>
        <w:pStyle w:val="Normal"/>
        <w:jc w:val="both"/>
        <w:rPr>
          <w:sz w:val="23"/>
        </w:rPr>
      </w:pPr>
      <w:r>
        <w:rPr>
          <w:sz w:val="23"/>
        </w:rPr>
      </w:r>
    </w:p>
    <w:p>
      <w:pPr>
        <w:pStyle w:val="Heading1"/>
        <w:ind w:hanging="0" w:start="0"/>
        <w:rPr/>
      </w:pPr>
      <w:r>
        <w:rPr/>
        <w:t>H.</w:t>
        <w:tab/>
        <w:t>BACKGROUND CHECK AND DRUG TESTING</w:t>
      </w:r>
    </w:p>
    <w:p>
      <w:pPr>
        <w:pStyle w:val="Normal"/>
        <w:jc w:val="both"/>
        <w:rPr>
          <w:sz w:val="23"/>
        </w:rPr>
      </w:pPr>
      <w:r>
        <w:rPr>
          <w:sz w:val="23"/>
        </w:rPr>
      </w:r>
    </w:p>
    <w:p>
      <w:pPr>
        <w:pStyle w:val="BodyText2"/>
        <w:rPr/>
      </w:pPr>
      <w:r>
        <w:rPr/>
        <w:t xml:space="preserve">This offer is also contingent upon the satisfactory completion of background and reference checks as well as your passing a pre-employment test that shows you are free from the use of unauthorized drugs.  This test must be completed and results received prior to your start date.  It may take up to five business days to receive drug test results.  Please contact Gwendolyn Gray at (713) 853-5234 or 1 (800) 97-ENRON extension 35234 or </w:t>
      </w:r>
      <w:hyperlink r:id="rId2">
        <w:r>
          <w:rPr>
            <w:rStyle w:val="Hyperlink"/>
          </w:rPr>
          <w:t>gwendolyn.gray@enron.com</w:t>
        </w:r>
      </w:hyperlink>
      <w:r>
        <w:rPr/>
        <w:t xml:space="preserve"> as soon as possible after you have accepted our offer.  </w:t>
      </w:r>
    </w:p>
    <w:p>
      <w:pPr>
        <w:pStyle w:val="BodyText2"/>
        <w:rPr/>
      </w:pPr>
      <w:r>
        <w:rPr/>
      </w:r>
    </w:p>
    <w:p>
      <w:pPr>
        <w:pStyle w:val="BodyText2"/>
        <w:rPr/>
      </w:pPr>
      <w:r>
        <w:rPr/>
        <w:t>Texas law requires that employees receive a copy of their employer’s policy on drug and alcohol.  Enron’s Policies on Drugs and Alcohol in the Workplace are enclosed for your review.  Your signature on this offer letter acknowledges that you have received both of Enron’s policies.  After beginning employment, you will be sent a memorandum regarding Enron’s Drug-Free Workplace Training Program, which all new hires are required to attend.</w:t>
      </w:r>
    </w:p>
    <w:p>
      <w:pPr>
        <w:pStyle w:val="Heading4"/>
        <w:ind w:hanging="0" w:start="0"/>
        <w:rPr/>
      </w:pPr>
      <w:r>
        <w:rPr/>
      </w:r>
    </w:p>
    <w:p>
      <w:pPr>
        <w:pStyle w:val="Heading4"/>
        <w:ind w:hanging="0" w:start="0"/>
        <w:rPr/>
      </w:pPr>
      <w:r>
        <w:rPr/>
        <w:t>I.</w:t>
        <w:tab/>
        <w:t>ADDITIONAL TERMS AND CONDITIONS OF EMPLOYMENT</w:t>
      </w:r>
    </w:p>
    <w:p>
      <w:pPr>
        <w:pStyle w:val="Normal"/>
        <w:jc w:val="both"/>
        <w:rPr>
          <w:sz w:val="23"/>
        </w:rPr>
      </w:pPr>
      <w:r>
        <w:rPr>
          <w:sz w:val="23"/>
        </w:rPr>
      </w:r>
    </w:p>
    <w:p>
      <w:pPr>
        <w:pStyle w:val="BodyText2"/>
        <w:rPr/>
      </w:pPr>
      <w:r>
        <w:rPr/>
        <w:t>All components of this offer are confidential and are not to be discussed with Enron employees or potential Enron employees.  Failure to comply may result in a withdrawn offer or termination of employment.</w:t>
      </w:r>
    </w:p>
    <w:p>
      <w:pPr>
        <w:pStyle w:val="Normal"/>
        <w:jc w:val="both"/>
        <w:rPr>
          <w:sz w:val="23"/>
        </w:rPr>
      </w:pPr>
      <w:r>
        <w:rPr>
          <w:sz w:val="23"/>
        </w:rPr>
        <w:t>You also agree that during your employment you may have access to or acquire client, competitive and other business information from Enron or from its employees, clients or customers, that is unique and which cannot be lawfully duplicated or easily acquired.  You understand and agree that you have a continuing obligation not to use, publish, or otherwise disclose either during or after your employment with Enron any trade secrets, confidential or proprietary information belonging to, or concerning or referring to Enron, or any client or customer of Enron.  You acknowledge that should you breach this provision, Enron will suffer immediate and irreparable harm and that money damages will be inadequate relief.  Therefore, you agree that Enron will be entitled to injunctive relief to enforce this paragraph and you consent to issuance by a court of competent jurisdiction of a temporary restraining order, preliminary or permanent injunction to enforce its rights under this paragraph.</w:t>
      </w:r>
    </w:p>
    <w:p>
      <w:pPr>
        <w:pStyle w:val="Normal"/>
        <w:jc w:val="both"/>
        <w:rPr>
          <w:sz w:val="23"/>
        </w:rPr>
      </w:pPr>
      <w:r>
        <w:rPr>
          <w:sz w:val="23"/>
        </w:rPr>
      </w:r>
    </w:p>
    <w:p>
      <w:pPr>
        <w:pStyle w:val="Heading7"/>
        <w:numPr>
          <w:ilvl w:val="0"/>
          <w:numId w:val="5"/>
        </w:numPr>
        <w:ind w:hanging="720" w:start="720" w:end="0"/>
        <w:rPr>
          <w:color w:val="000000"/>
        </w:rPr>
      </w:pPr>
      <w:r>
        <w:rPr>
          <w:color w:val="000000"/>
        </w:rPr>
        <w:t xml:space="preserve">LENGTH OF PROGRAM </w:t>
      </w:r>
    </w:p>
    <w:p>
      <w:pPr>
        <w:pStyle w:val="Normal"/>
        <w:jc w:val="both"/>
        <w:rPr>
          <w:b/>
          <w:bCs/>
          <w:color w:val="000000"/>
          <w:sz w:val="23"/>
        </w:rPr>
      </w:pPr>
      <w:r>
        <w:rPr>
          <w:b/>
          <w:bCs/>
          <w:color w:val="000000"/>
          <w:sz w:val="23"/>
        </w:rPr>
      </w:r>
    </w:p>
    <w:p>
      <w:pPr>
        <w:pStyle w:val="Normal"/>
        <w:jc w:val="both"/>
        <w:rPr>
          <w:sz w:val="23"/>
        </w:rPr>
      </w:pPr>
      <w:r>
        <w:rPr>
          <w:sz w:val="23"/>
        </w:rPr>
        <w:t>Enron’s Associate Program is intended to be an 18 to 24 month program, subject to the employee’s performance. It is designed to give the participants extensive exposure to Enron’s competitive businesses and innovative services.</w:t>
      </w:r>
    </w:p>
    <w:p>
      <w:pPr>
        <w:pStyle w:val="Normal"/>
        <w:jc w:val="both"/>
        <w:rPr>
          <w:sz w:val="23"/>
        </w:rPr>
      </w:pPr>
      <w:r>
        <w:rPr>
          <w:sz w:val="23"/>
        </w:rPr>
      </w:r>
    </w:p>
    <w:p>
      <w:pPr>
        <w:pStyle w:val="Heading4"/>
        <w:ind w:hanging="0" w:start="0"/>
        <w:rPr/>
      </w:pPr>
      <w:r>
        <w:rPr/>
        <w:t>K.</w:t>
        <w:tab/>
        <w:t>EMPLOYMENT AT WILL</w:t>
      </w:r>
    </w:p>
    <w:p>
      <w:pPr>
        <w:pStyle w:val="Normal"/>
        <w:jc w:val="both"/>
        <w:rPr>
          <w:sz w:val="23"/>
        </w:rPr>
      </w:pPr>
      <w:r>
        <w:rPr>
          <w:sz w:val="23"/>
        </w:rPr>
      </w:r>
    </w:p>
    <w:p>
      <w:pPr>
        <w:pStyle w:val="Normal"/>
        <w:jc w:val="both"/>
        <w:rPr>
          <w:sz w:val="23"/>
        </w:rPr>
      </w:pPr>
      <w:r>
        <w:rPr>
          <w:sz w:val="23"/>
        </w:rPr>
        <w:t>This offer is not a contract of employment for a fixed term.  You may terminate your employment with the Company at any time for any reason and, except as provided in a written employment approved by the appropriate company officers, the Company may terminate your employment at any time for any reason.  The terms and conditions stated above constitute the entire offer of employment.  Any promises, conditions, perquisites, or statements made prior to this offer and not expressly stated within this offer of employment should not be considered binding upon the company.</w:t>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18"/>
        </w:rPr>
      </w:pPr>
      <w:r>
        <w:rPr>
          <w:sz w:val="18"/>
        </w:rPr>
        <w:t>Forms/…/1455sab</w:t>
      </w:r>
    </w:p>
    <w:sectPr>
      <w:footerReference w:type="default" r:id="rId3"/>
      <w:type w:val="nextPage"/>
      <w:pgSz w:w="12240" w:h="15840"/>
      <w:pgMar w:left="1800"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3"/>
      <w:numFmt w:val="upperLetter"/>
      <w:lvlText w:val="%1."/>
      <w:lvlJc w:val="start"/>
      <w:pPr>
        <w:tabs>
          <w:tab w:val="num" w:pos="1080"/>
        </w:tabs>
        <w:ind w:start="1080" w:hanging="720"/>
      </w:pPr>
      <w:rPr/>
    </w:lvl>
  </w:abstractNum>
  <w:abstractNum w:abstractNumId="4">
    <w:lvl w:ilvl="0">
      <w:start w:val="5"/>
      <w:numFmt w:val="upperLetter"/>
      <w:lvlText w:val="%1."/>
      <w:lvlJc w:val="start"/>
      <w:pPr>
        <w:tabs>
          <w:tab w:val="num" w:pos="720"/>
        </w:tabs>
        <w:ind w:start="720" w:hanging="360"/>
      </w:pPr>
      <w:rPr/>
    </w:lvl>
  </w:abstractNum>
  <w:abstractNum w:abstractNumId="5">
    <w:lvl w:ilvl="0">
      <w:start w:val="10"/>
      <w:numFmt w:val="upperLetter"/>
      <w:lvlText w:val="%1."/>
      <w:lvlJc w:val="start"/>
      <w:pPr>
        <w:tabs>
          <w:tab w:val="num" w:pos="720"/>
        </w:tabs>
        <w:ind w:start="720" w:hanging="360"/>
      </w:pPr>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u w:val="single"/>
    </w:rPr>
  </w:style>
  <w:style w:type="paragraph" w:styleId="Heading3">
    <w:name w:val="heading 3"/>
    <w:basedOn w:val="Normal"/>
    <w:next w:val="Normal"/>
    <w:qFormat/>
    <w:pPr>
      <w:keepNext w:val="true"/>
      <w:numPr>
        <w:ilvl w:val="2"/>
        <w:numId w:val="1"/>
      </w:numPr>
      <w:ind w:hanging="0" w:start="2160" w:end="0"/>
      <w:jc w:val="both"/>
      <w:outlineLvl w:val="2"/>
    </w:pPr>
    <w:rPr>
      <w:b/>
      <w:bCs/>
    </w:rPr>
  </w:style>
  <w:style w:type="paragraph" w:styleId="Heading4">
    <w:name w:val="heading 4"/>
    <w:basedOn w:val="Normal"/>
    <w:next w:val="Normal"/>
    <w:qFormat/>
    <w:pPr>
      <w:keepNext w:val="true"/>
      <w:numPr>
        <w:ilvl w:val="3"/>
        <w:numId w:val="1"/>
      </w:numPr>
      <w:jc w:val="both"/>
      <w:outlineLvl w:val="3"/>
    </w:pPr>
    <w:rPr>
      <w:b/>
      <w:bCs/>
      <w:sz w:val="23"/>
    </w:rPr>
  </w:style>
  <w:style w:type="paragraph" w:styleId="Heading5">
    <w:name w:val="heading 5"/>
    <w:basedOn w:val="Normal"/>
    <w:next w:val="Normal"/>
    <w:qFormat/>
    <w:pPr>
      <w:keepNext w:val="true"/>
      <w:numPr>
        <w:ilvl w:val="4"/>
        <w:numId w:val="1"/>
      </w:numPr>
      <w:jc w:val="both"/>
      <w:outlineLvl w:val="4"/>
    </w:pPr>
    <w:rPr>
      <w:sz w:val="23"/>
      <w:u w:val="single"/>
    </w:rPr>
  </w:style>
  <w:style w:type="paragraph" w:styleId="Heading6">
    <w:name w:val="heading 6"/>
    <w:basedOn w:val="Normal"/>
    <w:next w:val="Normal"/>
    <w:qFormat/>
    <w:pPr>
      <w:keepNext w:val="true"/>
      <w:numPr>
        <w:ilvl w:val="0"/>
        <w:numId w:val="3"/>
      </w:numPr>
      <w:tabs>
        <w:tab w:val="clear" w:pos="720"/>
        <w:tab w:val="left" w:pos="0" w:leader="none"/>
      </w:tabs>
      <w:ind w:hanging="360" w:start="360" w:end="0"/>
      <w:jc w:val="both"/>
      <w:outlineLvl w:val="5"/>
    </w:pPr>
    <w:rPr>
      <w:b/>
      <w:bCs/>
      <w:sz w:val="23"/>
    </w:rPr>
  </w:style>
  <w:style w:type="paragraph" w:styleId="Heading7">
    <w:name w:val="heading 7"/>
    <w:basedOn w:val="Normal"/>
    <w:next w:val="Normal"/>
    <w:qFormat/>
    <w:pPr>
      <w:keepNext w:val="true"/>
      <w:numPr>
        <w:ilvl w:val="6"/>
        <w:numId w:val="1"/>
      </w:numPr>
      <w:jc w:val="both"/>
      <w:outlineLvl w:val="6"/>
    </w:pPr>
    <w:rPr>
      <w:b/>
      <w:bCs/>
      <w:color w:val="FF0000"/>
      <w:sz w:val="23"/>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mallCaps/>
      <w:sz w:val="23"/>
    </w:rPr>
  </w:style>
  <w:style w:type="paragraph" w:styleId="BodyText">
    <w:name w:val="Body Text"/>
    <w:basedOn w:val="Normal"/>
    <w:pPr>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b/>
    </w:rPr>
  </w:style>
  <w:style w:type="paragraph" w:styleId="EnvelopeReturn">
    <w:name w:val="envelope return"/>
    <w:basedOn w:val="Normal"/>
    <w:pPr/>
    <w:rPr>
      <w:rFonts w:cs="Arial"/>
      <w:b/>
      <w:sz w:val="22"/>
      <w:szCs w:val="20"/>
    </w:rPr>
  </w:style>
  <w:style w:type="paragraph" w:styleId="BodyTextIndent">
    <w:name w:val="Body Text Indent"/>
    <w:basedOn w:val="Normal"/>
    <w:pPr>
      <w:ind w:firstLine="720" w:start="0" w:end="0"/>
      <w:jc w:val="both"/>
    </w:pPr>
    <w:rPr>
      <w:sz w:val="23"/>
    </w:rPr>
  </w:style>
  <w:style w:type="paragraph" w:styleId="BodyText2">
    <w:name w:val="Body Text 2"/>
    <w:basedOn w:val="Normal"/>
    <w:qFormat/>
    <w:pPr>
      <w:jc w:val="both"/>
    </w:pPr>
    <w:rPr>
      <w:sz w:val="2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wendolyn.gray@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2001-07-26T12:31:00Z</dcterms:created>
  <dc:creator>asyon</dc:creator>
  <dc:description/>
  <dc:language>en-CA</dc:language>
  <cp:lastModifiedBy>Alyse Herasimchuk</cp:lastModifiedBy>
  <cp:lastPrinted>2001-08-07T09:20:00Z</cp:lastPrinted>
  <dcterms:modified xsi:type="dcterms:W3CDTF">2001-08-07T12:01:00Z</dcterms:modified>
  <cp:revision>25</cp:revision>
  <dc:subject/>
  <dc:title>May 8, 2001</dc:title>
</cp:coreProperties>
</file>