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notes.xml" ContentType="application/vnd.openxmlformats-officedocument.wordprocessingml.footnot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center"/>
        <w:rPr>
          <w:b/>
          <w:sz w:val="22"/>
        </w:rPr>
      </w:pPr>
      <w:r>
        <w:rPr>
          <w:b/>
          <w:sz w:val="22"/>
        </w:rPr>
        <w:t>MASTER POWER PURCHASE AND SALE AGREEMENT</w:t>
      </w:r>
    </w:p>
    <w:p>
      <w:pPr>
        <w:pStyle w:val="Normal"/>
        <w:widowControl/>
        <w:bidi w:val="0"/>
        <w:jc w:val="center"/>
        <w:rPr>
          <w:sz w:val="18"/>
        </w:rPr>
      </w:pPr>
      <w:r>
        <w:rPr>
          <w:b/>
          <w:sz w:val="22"/>
          <w:u w:val="single"/>
        </w:rPr>
        <w:t>COVER SHEET</w:t>
      </w:r>
    </w:p>
    <w:p>
      <w:pPr>
        <w:pStyle w:val="Normal"/>
        <w:widowControl/>
        <w:bidi w:val="0"/>
        <w:jc w:val="center"/>
        <w:rPr>
          <w:sz w:val="18"/>
        </w:rPr>
      </w:pPr>
      <w:r>
        <w:rPr>
          <w:sz w:val="18"/>
        </w:rPr>
      </w:r>
    </w:p>
    <w:p>
      <w:pPr>
        <w:pStyle w:val="Normal"/>
        <w:widowControl/>
        <w:bidi w:val="0"/>
        <w:jc w:val="start"/>
        <w:rPr>
          <w:sz w:val="18"/>
        </w:rPr>
      </w:pPr>
      <w:r>
        <w:rPr>
          <w:sz w:val="18"/>
        </w:rPr>
        <w:t>This Master Power Purchase and Sale Agreement ("Master Agreement" ) is made as of the following date: _________ ("Effective Date") .    The Master Agreement, together with the exhibits, schedules and any written supplements hereto, the Party A Tariff, if any, the Party B Tariff, if any, any designated collateral, credit support or margin agreement or similar arrangement between the Parties and all Transactions shall be referred to as the "Agreement."    The Parties to this Master Agreement are the following:</w:t>
      </w:r>
    </w:p>
    <w:tbl>
      <w:tblPr>
        <w:tblW w:w="10080" w:type="dxa"/>
        <w:jc w:val="center"/>
        <w:tblInd w:w="0" w:type="dxa"/>
        <w:tblLayout w:type="fixed"/>
        <w:tblCellMar>
          <w:top w:w="0" w:type="dxa"/>
          <w:start w:w="120" w:type="dxa"/>
          <w:bottom w:w="0" w:type="dxa"/>
          <w:end w:w="120" w:type="dxa"/>
        </w:tblCellMar>
      </w:tblPr>
      <w:tblGrid>
        <w:gridCol w:w="5040"/>
        <w:gridCol w:w="5039"/>
      </w:tblGrid>
      <w:tr>
        <w:trPr>
          <w:trHeight w:val="403" w:hRule="atLeast"/>
          <w:cantSplit w:val="true"/>
        </w:trPr>
        <w:tc>
          <w:tcPr>
            <w:tcW w:w="5040" w:type="dxa"/>
            <w:tcBorders/>
          </w:tcPr>
          <w:p>
            <w:pPr>
              <w:pStyle w:val="Normal"/>
              <w:widowControl/>
              <w:tabs>
                <w:tab w:val="clear" w:pos="720"/>
              </w:tabs>
              <w:bidi w:val="0"/>
              <w:jc w:val="start"/>
              <w:rPr>
                <w:sz w:val="18"/>
              </w:rPr>
            </w:pPr>
            <w:r>
              <w:rPr>
                <w:sz w:val="18"/>
              </w:rPr>
              <w:t>Name (“__________________” or “Party A”)</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Duns: __________________________</w:t>
            </w:r>
          </w:p>
          <w:p>
            <w:pPr>
              <w:pStyle w:val="Normal"/>
              <w:widowControl/>
              <w:tabs>
                <w:tab w:val="clear" w:pos="720"/>
              </w:tabs>
              <w:bidi w:val="0"/>
              <w:jc w:val="start"/>
              <w:rPr>
                <w:sz w:val="18"/>
              </w:rPr>
            </w:pPr>
            <w:r>
              <w:rPr>
                <w:sz w:val="18"/>
              </w:rPr>
              <w:t>Federal Tax ID Number: 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t>Notices of Event of Default or Potential Event of Default:</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pPr>
            <w:r>
              <w:rPr>
                <w:sz w:val="18"/>
              </w:rPr>
              <w:t xml:space="preserve">          </w:t>
            </w:r>
            <w:r>
              <w:rPr>
                <w:sz w:val="18"/>
              </w:rPr>
              <w:t xml:space="preserve">Facsimile: </w:t>
            </w:r>
            <w:r>
              <w:rPr>
                <w:sz w:val="18"/>
                <w:u w:val="single"/>
              </w:rPr>
              <w:tab/>
              <w:tab/>
              <w:tab/>
            </w:r>
          </w:p>
        </w:tc>
        <w:tc>
          <w:tcPr>
            <w:tcW w:w="5039" w:type="dxa"/>
            <w:tcBorders/>
          </w:tcPr>
          <w:p>
            <w:pPr>
              <w:pStyle w:val="Normal"/>
              <w:widowControl/>
              <w:tabs>
                <w:tab w:val="clear" w:pos="720"/>
              </w:tabs>
              <w:bidi w:val="0"/>
              <w:jc w:val="start"/>
              <w:rPr>
                <w:sz w:val="18"/>
              </w:rPr>
            </w:pPr>
            <w:r>
              <w:rPr>
                <w:sz w:val="18"/>
              </w:rPr>
              <w:t>Name (“Counterparty” or “Party B”)</w:t>
            </w:r>
          </w:p>
          <w:p>
            <w:pPr>
              <w:pStyle w:val="Normal"/>
              <w:widowControl/>
              <w:tabs>
                <w:tab w:val="clear" w:pos="720"/>
              </w:tabs>
              <w:bidi w:val="0"/>
              <w:jc w:val="start"/>
              <w:rPr>
                <w:sz w:val="18"/>
              </w:rPr>
            </w:pPr>
            <w:r>
              <w:rPr>
                <w:sz w:val="18"/>
              </w:rPr>
              <w:t>Street, City, Zip</w:t>
            </w:r>
          </w:p>
          <w:p>
            <w:pPr>
              <w:pStyle w:val="Normal"/>
              <w:widowControl/>
              <w:tabs>
                <w:tab w:val="clear" w:pos="720"/>
              </w:tabs>
              <w:bidi w:val="0"/>
              <w:jc w:val="start"/>
              <w:rPr>
                <w:sz w:val="18"/>
              </w:rPr>
            </w:pPr>
            <w:r>
              <w:rPr>
                <w:sz w:val="18"/>
              </w:rPr>
              <w:t>Attn: Contract Administration</w:t>
            </w:r>
          </w:p>
          <w:p>
            <w:pPr>
              <w:pStyle w:val="Normal"/>
              <w:widowControl/>
              <w:tabs>
                <w:tab w:val="clear" w:pos="720"/>
              </w:tabs>
              <w:bidi w:val="0"/>
              <w:jc w:val="start"/>
              <w:rPr>
                <w:sz w:val="18"/>
              </w:rPr>
            </w:pPr>
            <w:r>
              <w:rPr>
                <w:sz w:val="18"/>
              </w:rPr>
              <w:t xml:space="preserve">Phone: </w:t>
            </w:r>
            <w:r>
              <w:rPr>
                <w:sz w:val="18"/>
                <w:u w:val="single"/>
              </w:rPr>
              <w:tab/>
              <w:tab/>
              <w:tab/>
              <w:tab/>
            </w:r>
          </w:p>
          <w:p>
            <w:pPr>
              <w:pStyle w:val="Normal"/>
              <w:widowControl/>
              <w:tabs>
                <w:tab w:val="clear" w:pos="720"/>
              </w:tabs>
              <w:bidi w:val="0"/>
              <w:jc w:val="start"/>
              <w:rPr>
                <w:sz w:val="18"/>
              </w:rPr>
            </w:pPr>
            <w:r>
              <w:rPr>
                <w:sz w:val="18"/>
              </w:rPr>
              <w:t xml:space="preserve">Facsimile: </w:t>
            </w:r>
            <w:r>
              <w:rPr>
                <w:sz w:val="18"/>
                <w:u w:val="single"/>
              </w:rPr>
              <w:tab/>
              <w:tab/>
              <w:tab/>
            </w:r>
          </w:p>
          <w:p>
            <w:pPr>
              <w:pStyle w:val="Normal"/>
              <w:widowControl/>
              <w:tabs>
                <w:tab w:val="clear" w:pos="720"/>
              </w:tabs>
              <w:bidi w:val="0"/>
              <w:jc w:val="start"/>
              <w:rPr>
                <w:sz w:val="18"/>
              </w:rPr>
            </w:pPr>
            <w:r>
              <w:rPr>
                <w:sz w:val="18"/>
              </w:rPr>
              <w:t xml:space="preserve">Duns: </w:t>
            </w:r>
            <w:r>
              <w:rPr>
                <w:sz w:val="18"/>
                <w:u w:val="single"/>
              </w:rPr>
              <w:tab/>
              <w:tab/>
              <w:tab/>
              <w:tab/>
            </w:r>
          </w:p>
          <w:p>
            <w:pPr>
              <w:pStyle w:val="Normal"/>
              <w:widowControl/>
              <w:tabs>
                <w:tab w:val="clear" w:pos="720"/>
              </w:tabs>
              <w:bidi w:val="0"/>
              <w:jc w:val="start"/>
              <w:rPr>
                <w:sz w:val="18"/>
              </w:rPr>
            </w:pPr>
            <w:r>
              <w:rPr>
                <w:sz w:val="18"/>
              </w:rPr>
              <w:t>Federal Tax ID Number: ________________________</w:t>
            </w:r>
          </w:p>
          <w:p>
            <w:pPr>
              <w:pStyle w:val="Normal"/>
              <w:widowControl/>
              <w:tabs>
                <w:tab w:val="clear" w:pos="720"/>
              </w:tabs>
              <w:bidi w:val="0"/>
              <w:jc w:val="start"/>
              <w:rPr>
                <w:sz w:val="18"/>
              </w:rPr>
            </w:pPr>
            <w:r>
              <w:rPr>
                <w:sz w:val="18"/>
              </w:rPr>
              <w:t>Invoices: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Scheduling:</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Payments: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t>Wire Transfer:</w:t>
            </w:r>
          </w:p>
          <w:p>
            <w:pPr>
              <w:pStyle w:val="Normal"/>
              <w:widowControl/>
              <w:tabs>
                <w:tab w:val="clear" w:pos="720"/>
              </w:tabs>
              <w:bidi w:val="0"/>
              <w:jc w:val="start"/>
              <w:rPr>
                <w:sz w:val="18"/>
              </w:rPr>
            </w:pPr>
            <w:r>
              <w:rPr>
                <w:sz w:val="18"/>
              </w:rPr>
              <w:t xml:space="preserve">          </w:t>
            </w:r>
            <w:r>
              <w:rPr>
                <w:sz w:val="18"/>
              </w:rPr>
              <w:t>BNK:</w:t>
            </w:r>
          </w:p>
          <w:p>
            <w:pPr>
              <w:pStyle w:val="Normal"/>
              <w:widowControl/>
              <w:tabs>
                <w:tab w:val="clear" w:pos="720"/>
              </w:tabs>
              <w:bidi w:val="0"/>
              <w:jc w:val="start"/>
              <w:rPr>
                <w:sz w:val="18"/>
              </w:rPr>
            </w:pPr>
            <w:r>
              <w:rPr>
                <w:sz w:val="18"/>
              </w:rPr>
              <w:t xml:space="preserve">          </w:t>
            </w:r>
            <w:r>
              <w:rPr>
                <w:sz w:val="18"/>
              </w:rPr>
              <w:t>ABA:</w:t>
            </w:r>
          </w:p>
          <w:p>
            <w:pPr>
              <w:pStyle w:val="Normal"/>
              <w:widowControl/>
              <w:tabs>
                <w:tab w:val="clear" w:pos="720"/>
              </w:tabs>
              <w:bidi w:val="0"/>
              <w:jc w:val="start"/>
              <w:rPr>
                <w:sz w:val="18"/>
              </w:rPr>
            </w:pPr>
            <w:r>
              <w:rPr>
                <w:sz w:val="18"/>
              </w:rPr>
              <w:t xml:space="preserve">          </w:t>
            </w:r>
            <w:r>
              <w:rPr>
                <w:sz w:val="18"/>
              </w:rPr>
              <w:t>ACCT:</w:t>
            </w:r>
          </w:p>
          <w:p>
            <w:pPr>
              <w:pStyle w:val="Normal"/>
              <w:widowControl/>
              <w:tabs>
                <w:tab w:val="clear" w:pos="720"/>
              </w:tabs>
              <w:bidi w:val="0"/>
              <w:jc w:val="start"/>
              <w:rPr>
                <w:sz w:val="18"/>
              </w:rPr>
            </w:pPr>
            <w:r>
              <w:rPr>
                <w:sz w:val="18"/>
              </w:rPr>
              <w:t>Credit and Collections:</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sz w:val="18"/>
              </w:rPr>
            </w:pPr>
            <w:r>
              <w:rPr>
                <w:sz w:val="18"/>
              </w:rPr>
              <w:t xml:space="preserve">          </w:t>
            </w:r>
            <w:r>
              <w:rPr>
                <w:sz w:val="18"/>
              </w:rPr>
              <w:t xml:space="preserve">Facsimile: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t>Notices of Event of Default or Potential Event of Default:</w:t>
            </w:r>
          </w:p>
          <w:p>
            <w:pPr>
              <w:pStyle w:val="Normal"/>
              <w:widowControl/>
              <w:tabs>
                <w:tab w:val="clear" w:pos="720"/>
              </w:tabs>
              <w:bidi w:val="0"/>
              <w:jc w:val="start"/>
              <w:rPr>
                <w:sz w:val="18"/>
              </w:rPr>
            </w:pPr>
            <w:r>
              <w:rPr>
                <w:sz w:val="18"/>
              </w:rPr>
              <w:t xml:space="preserve">          </w:t>
            </w:r>
            <w:r>
              <w:rPr>
                <w:sz w:val="18"/>
              </w:rPr>
              <w:t>Attn:</w:t>
            </w:r>
          </w:p>
          <w:p>
            <w:pPr>
              <w:pStyle w:val="Normal"/>
              <w:widowControl/>
              <w:tabs>
                <w:tab w:val="clear" w:pos="720"/>
              </w:tabs>
              <w:bidi w:val="0"/>
              <w:jc w:val="start"/>
              <w:rPr>
                <w:sz w:val="18"/>
              </w:rPr>
            </w:pPr>
            <w:r>
              <w:rPr>
                <w:sz w:val="18"/>
              </w:rPr>
              <w:t xml:space="preserve">          </w:t>
            </w:r>
            <w:r>
              <w:rPr>
                <w:sz w:val="18"/>
              </w:rPr>
              <w:t xml:space="preserve">Phone: </w:t>
            </w:r>
            <w:r>
              <w:rPr>
                <w:sz w:val="18"/>
                <w:u w:val="single"/>
              </w:rPr>
              <w:tab/>
              <w:tab/>
              <w:tab/>
            </w:r>
          </w:p>
          <w:p>
            <w:pPr>
              <w:pStyle w:val="Normal"/>
              <w:widowControl/>
              <w:tabs>
                <w:tab w:val="clear" w:pos="720"/>
              </w:tabs>
              <w:bidi w:val="0"/>
              <w:jc w:val="start"/>
              <w:rPr/>
            </w:pPr>
            <w:r>
              <w:rPr>
                <w:sz w:val="18"/>
              </w:rPr>
              <w:t xml:space="preserve">          </w:t>
            </w:r>
            <w:r>
              <w:rPr>
                <w:sz w:val="18"/>
              </w:rPr>
              <w:t xml:space="preserve">Facsimile: </w:t>
            </w:r>
            <w:r>
              <w:rPr>
                <w:sz w:val="18"/>
                <w:u w:val="single"/>
              </w:rPr>
              <w:tab/>
              <w:tab/>
              <w:tab/>
            </w:r>
          </w:p>
        </w:tc>
      </w:tr>
      <w:tr>
        <w:trPr>
          <w:trHeight w:val="403" w:hRule="atLeast"/>
          <w:cantSplit w:val="true"/>
        </w:trPr>
        <w:tc>
          <w:tcPr>
            <w:tcW w:w="5040" w:type="dxa"/>
            <w:tcBorders/>
          </w:tcPr>
          <w:p>
            <w:pPr>
              <w:pStyle w:val="Normal"/>
              <w:widowControl/>
              <w:tabs>
                <w:tab w:val="clear" w:pos="720"/>
              </w:tabs>
              <w:bidi w:val="0"/>
              <w:jc w:val="start"/>
              <w:rPr>
                <w:sz w:val="24"/>
              </w:rPr>
            </w:pPr>
            <w:r>
              <w:rPr>
                <w:sz w:val="24"/>
              </w:rPr>
            </w:r>
          </w:p>
        </w:tc>
        <w:tc>
          <w:tcPr>
            <w:tcW w:w="5039" w:type="dxa"/>
            <w:tcBorders/>
          </w:tcPr>
          <w:p>
            <w:pPr>
              <w:pStyle w:val="Normal"/>
              <w:widowControl/>
              <w:tabs>
                <w:tab w:val="clear" w:pos="720"/>
              </w:tabs>
              <w:bidi w:val="0"/>
              <w:jc w:val="start"/>
              <w:rPr>
                <w:sz w:val="24"/>
              </w:rPr>
            </w:pPr>
            <w:r>
              <w:rPr>
                <w:sz w:val="24"/>
              </w:rPr>
            </w:r>
          </w:p>
        </w:tc>
      </w:tr>
    </w:tbl>
    <w:p>
      <w:pPr>
        <w:pStyle w:val="Normal"/>
        <w:widowControl/>
        <w:bidi w:val="0"/>
        <w:jc w:val="start"/>
        <w:rPr>
          <w:sz w:val="18"/>
        </w:rPr>
      </w:pPr>
      <w:r>
        <w:rPr>
          <w:sz w:val="18"/>
        </w:rPr>
      </w:r>
    </w:p>
    <w:p>
      <w:pPr>
        <w:pStyle w:val="Normal"/>
        <w:widowControl/>
        <w:bidi w:val="0"/>
        <w:jc w:val="start"/>
        <w:rPr>
          <w:sz w:val="18"/>
        </w:rPr>
      </w:pPr>
      <w:r>
        <w:rPr>
          <w:sz w:val="18"/>
        </w:rPr>
        <w:t>The Parties hereby agree that the General Terms and Conditions are incorporated herein, and to the following provisions as provided for in the General Terms and Conditions:</w:t>
      </w:r>
    </w:p>
    <w:tbl>
      <w:tblPr>
        <w:tblW w:w="10080" w:type="dxa"/>
        <w:jc w:val="center"/>
        <w:tblInd w:w="0" w:type="dxa"/>
        <w:tblLayout w:type="fixed"/>
        <w:tblCellMar>
          <w:top w:w="0" w:type="dxa"/>
          <w:start w:w="120" w:type="dxa"/>
          <w:bottom w:w="0" w:type="dxa"/>
          <w:end w:w="120" w:type="dxa"/>
        </w:tblCellMar>
      </w:tblPr>
      <w:tblGrid>
        <w:gridCol w:w="2520"/>
        <w:gridCol w:w="7559"/>
      </w:tblGrid>
      <w:tr>
        <w:trPr>
          <w:trHeight w:val="403" w:hRule="atLeast"/>
          <w:cantSplit w:val="true"/>
        </w:trPr>
        <w:tc>
          <w:tcPr>
            <w:tcW w:w="2520" w:type="dxa"/>
            <w:tcBorders/>
          </w:tcPr>
          <w:p>
            <w:pPr>
              <w:pStyle w:val="Normal"/>
              <w:widowControl/>
              <w:tabs>
                <w:tab w:val="clear" w:pos="720"/>
              </w:tabs>
              <w:bidi w:val="0"/>
              <w:jc w:val="start"/>
              <w:rPr>
                <w:sz w:val="18"/>
              </w:rPr>
            </w:pPr>
            <w:r>
              <w:rPr>
                <w:sz w:val="18"/>
              </w:rPr>
              <w:t>Party A Tariff</w:t>
            </w:r>
          </w:p>
          <w:p>
            <w:pPr>
              <w:pStyle w:val="Normal"/>
              <w:widowControl/>
              <w:tabs>
                <w:tab w:val="clear" w:pos="720"/>
              </w:tabs>
              <w:bidi w:val="0"/>
              <w:jc w:val="start"/>
              <w:rPr>
                <w:sz w:val="18"/>
              </w:rPr>
            </w:pPr>
            <w:r>
              <w:rPr>
                <w:sz w:val="18"/>
              </w:rPr>
            </w:r>
          </w:p>
          <w:p>
            <w:pPr>
              <w:pStyle w:val="Normal"/>
              <w:widowControl/>
              <w:tabs>
                <w:tab w:val="clear" w:pos="720"/>
              </w:tabs>
              <w:bidi w:val="0"/>
              <w:jc w:val="start"/>
              <w:rPr/>
            </w:pPr>
            <w:r>
              <w:rPr>
                <w:sz w:val="18"/>
              </w:rPr>
              <w:t>Party B Tariff</w:t>
            </w:r>
          </w:p>
        </w:tc>
        <w:tc>
          <w:tcPr>
            <w:tcW w:w="7559" w:type="dxa"/>
            <w:tcBorders/>
          </w:tcPr>
          <w:p>
            <w:pPr>
              <w:pStyle w:val="Normal"/>
              <w:widowControl/>
              <w:tabs>
                <w:tab w:val="clear" w:pos="720"/>
              </w:tabs>
              <w:bidi w:val="0"/>
              <w:jc w:val="start"/>
              <w:rPr>
                <w:sz w:val="18"/>
              </w:rPr>
            </w:pPr>
            <w:r>
              <w:rPr>
                <w:sz w:val="18"/>
              </w:rPr>
              <w:t xml:space="preserve">Tariff __________________ Dated _______________ Docket Number    </w:t>
            </w:r>
            <w:r>
              <w:rPr>
                <w:sz w:val="18"/>
                <w:u w:val="single"/>
              </w:rPr>
              <w:tab/>
              <w:tab/>
              <w:tab/>
            </w:r>
          </w:p>
          <w:p>
            <w:pPr>
              <w:pStyle w:val="Normal"/>
              <w:widowControl/>
              <w:tabs>
                <w:tab w:val="clear" w:pos="720"/>
              </w:tabs>
              <w:bidi w:val="0"/>
              <w:jc w:val="start"/>
              <w:rPr>
                <w:sz w:val="18"/>
              </w:rPr>
            </w:pPr>
            <w:r>
              <w:rPr>
                <w:sz w:val="18"/>
              </w:rPr>
            </w:r>
          </w:p>
          <w:p>
            <w:pPr>
              <w:pStyle w:val="Normal"/>
              <w:widowControl/>
              <w:tabs>
                <w:tab w:val="clear" w:pos="720"/>
              </w:tabs>
              <w:bidi w:val="0"/>
              <w:jc w:val="start"/>
              <w:rPr/>
            </w:pPr>
            <w:r>
              <w:rPr>
                <w:sz w:val="18"/>
              </w:rPr>
              <w:t xml:space="preserve">Tariff __________________ Dated _______________ Docket Number </w:t>
            </w:r>
            <w:r>
              <w:rPr>
                <w:sz w:val="18"/>
                <w:u w:val="single"/>
              </w:rPr>
              <w:tab/>
              <w:tab/>
              <w:tab/>
            </w:r>
          </w:p>
        </w:tc>
      </w:tr>
      <w:tr>
        <w:trPr>
          <w:trHeight w:val="403" w:hRule="atLeast"/>
          <w:cantSplit w:val="true"/>
        </w:trPr>
        <w:tc>
          <w:tcPr>
            <w:tcW w:w="2520" w:type="dxa"/>
            <w:tcBorders/>
          </w:tcPr>
          <w:p>
            <w:pPr>
              <w:pStyle w:val="Normal"/>
              <w:widowControl/>
              <w:tabs>
                <w:tab w:val="clear" w:pos="720"/>
              </w:tabs>
              <w:bidi w:val="0"/>
              <w:jc w:val="start"/>
              <w:rPr>
                <w:sz w:val="18"/>
              </w:rPr>
            </w:pPr>
            <w:r>
              <w:rPr>
                <w:sz w:val="18"/>
              </w:rPr>
              <w:t>Article Four</w:t>
            </w:r>
          </w:p>
          <w:p>
            <w:pPr>
              <w:pStyle w:val="Normal"/>
              <w:widowControl/>
              <w:tabs>
                <w:tab w:val="clear" w:pos="720"/>
              </w:tabs>
              <w:bidi w:val="0"/>
              <w:jc w:val="start"/>
              <w:rPr/>
            </w:pPr>
            <w:r>
              <w:rPr>
                <w:sz w:val="18"/>
              </w:rPr>
              <w:t>Remedies for Failure to Deliver or Receive</w:t>
            </w:r>
          </w:p>
        </w:tc>
        <w:tc>
          <w:tcPr>
            <w:tcW w:w="7559" w:type="dxa"/>
            <w:tcBorders/>
          </w:tcPr>
          <w:p>
            <w:pPr>
              <w:pStyle w:val="Normal"/>
              <w:widowControl/>
              <w:tabs>
                <w:tab w:val="clear" w:pos="720"/>
              </w:tabs>
              <w:bidi w:val="0"/>
              <w:jc w:val="start"/>
              <w:rPr>
                <w:sz w:val="18"/>
              </w:rPr>
            </w:pPr>
            <w:r>
              <w:rPr>
                <w:sz w:val="18"/>
              </w:rPr>
              <w:t xml:space="preserve">Accelerated Payment of Damages: </w:t>
            </w:r>
            <w:r>
              <w:rPr>
                <w:rFonts w:ascii="WP TypographicSymbols" w:hAnsi="WP TypographicSymbols"/>
                <w:sz w:val="24"/>
              </w:rPr>
              <w:t></w:t>
            </w:r>
            <w:r>
              <w:rPr>
                <w:sz w:val="18"/>
              </w:rPr>
              <w:t xml:space="preserve"> Yes    </w:t>
            </w:r>
            <w:r>
              <w:rPr>
                <w:rFonts w:ascii="WP TypographicSymbols" w:hAnsi="WP TypographicSymbols"/>
                <w:sz w:val="24"/>
              </w:rPr>
              <w:t></w:t>
            </w:r>
            <w:r>
              <w:rPr>
                <w:sz w:val="18"/>
              </w:rPr>
              <w:t>No</w:t>
            </w:r>
          </w:p>
          <w:p>
            <w:pPr>
              <w:pStyle w:val="Normal"/>
              <w:widowControl/>
              <w:tabs>
                <w:tab w:val="clear" w:pos="720"/>
              </w:tabs>
              <w:bidi w:val="0"/>
              <w:jc w:val="start"/>
              <w:rPr>
                <w:sz w:val="24"/>
              </w:rPr>
            </w:pPr>
            <w:r>
              <w:rPr>
                <w:sz w:val="24"/>
              </w:rPr>
            </w:r>
          </w:p>
        </w:tc>
      </w:tr>
      <w:tr>
        <w:trPr>
          <w:trHeight w:val="403" w:hRule="atLeast"/>
          <w:cantSplit w:val="true"/>
        </w:trPr>
        <w:tc>
          <w:tcPr>
            <w:tcW w:w="2520" w:type="dxa"/>
            <w:tcBorders/>
          </w:tcPr>
          <w:p>
            <w:pPr>
              <w:pStyle w:val="Normal"/>
              <w:widowControl/>
              <w:bidi w:val="0"/>
              <w:jc w:val="start"/>
              <w:rPr>
                <w:sz w:val="18"/>
              </w:rPr>
            </w:pPr>
            <w:r>
              <w:rPr>
                <w:sz w:val="18"/>
              </w:rPr>
              <w:t>Article Five</w:t>
            </w:r>
          </w:p>
          <w:p>
            <w:pPr>
              <w:pStyle w:val="Normal"/>
              <w:widowControl/>
              <w:bidi w:val="0"/>
              <w:jc w:val="start"/>
              <w:rPr>
                <w:sz w:val="18"/>
              </w:rPr>
            </w:pPr>
            <w:r>
              <w:rPr>
                <w:sz w:val="18"/>
              </w:rPr>
              <w:t>Events of Default;</w:t>
            </w:r>
          </w:p>
          <w:p>
            <w:pPr>
              <w:pStyle w:val="Normal"/>
              <w:widowControl/>
              <w:bidi w:val="0"/>
              <w:jc w:val="start"/>
              <w:rPr/>
            </w:pPr>
            <w:r>
              <w:rPr>
                <w:sz w:val="18"/>
              </w:rPr>
              <w:t>Remedies</w:t>
            </w:r>
          </w:p>
        </w:tc>
        <w:tc>
          <w:tcPr>
            <w:tcW w:w="7559" w:type="dxa"/>
            <w:tcBorders/>
          </w:tcPr>
          <w:p>
            <w:pPr>
              <w:pStyle w:val="Normal"/>
              <w:widowControl/>
              <w:bidi w:val="0"/>
              <w:jc w:val="start"/>
              <w:rPr>
                <w:sz w:val="18"/>
              </w:rPr>
            </w:pPr>
            <w:r>
              <w:rPr>
                <w:rFonts w:ascii="WP TypographicSymbols" w:hAnsi="WP TypographicSymbols"/>
                <w:sz w:val="24"/>
              </w:rPr>
              <w:t></w:t>
            </w:r>
            <w:r>
              <w:rPr>
                <w:sz w:val="18"/>
              </w:rPr>
              <w:t xml:space="preserve"> </w:t>
            </w:r>
            <w:r>
              <w:rPr>
                <w:sz w:val="18"/>
              </w:rPr>
              <w:t>Cross Default for Party A:</w:t>
            </w:r>
          </w:p>
          <w:p>
            <w:pPr>
              <w:pStyle w:val="Normal"/>
              <w:widowControl/>
              <w:bidi w:val="0"/>
              <w:jc w:val="start"/>
              <w:rPr>
                <w:sz w:val="18"/>
              </w:rPr>
            </w:pPr>
            <w:r>
              <w:rPr>
                <w:sz w:val="24"/>
              </w:rPr>
              <w:tab/>
            </w:r>
            <w:r>
              <w:rPr>
                <w:rFonts w:ascii="WP TypographicSymbols" w:hAnsi="WP TypographicSymbols"/>
                <w:sz w:val="24"/>
              </w:rPr>
              <w:t></w:t>
            </w:r>
            <w:r>
              <w:rPr>
                <w:sz w:val="18"/>
              </w:rPr>
              <w:t xml:space="preserve"> Party A: _____      Cross Default Amount $_______</w:t>
            </w:r>
          </w:p>
          <w:p>
            <w:pPr>
              <w:pStyle w:val="Normal"/>
              <w:widowContro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widowControl/>
              <w:bidi w:val="0"/>
              <w:jc w:val="start"/>
              <w:rPr>
                <w:sz w:val="18"/>
              </w:rPr>
            </w:pPr>
            <w:r>
              <w:rPr>
                <w:rFonts w:ascii="WP TypographicSymbols" w:hAnsi="WP TypographicSymbols"/>
                <w:sz w:val="24"/>
              </w:rPr>
              <w:t></w:t>
            </w:r>
            <w:r>
              <w:rPr>
                <w:sz w:val="18"/>
              </w:rPr>
              <w:t xml:space="preserve"> </w:t>
            </w:r>
            <w:r>
              <w:rPr>
                <w:sz w:val="18"/>
              </w:rPr>
              <w:t>Cross Default for Party B:</w:t>
            </w:r>
          </w:p>
          <w:p>
            <w:pPr>
              <w:pStyle w:val="Normal"/>
              <w:widowControl/>
              <w:bidi w:val="0"/>
              <w:jc w:val="start"/>
              <w:rPr>
                <w:sz w:val="18"/>
              </w:rPr>
            </w:pPr>
            <w:r>
              <w:rPr>
                <w:sz w:val="24"/>
              </w:rPr>
              <w:tab/>
            </w:r>
            <w:r>
              <w:rPr>
                <w:rFonts w:ascii="WP TypographicSymbols" w:hAnsi="WP TypographicSymbols"/>
                <w:sz w:val="24"/>
              </w:rPr>
              <w:t></w:t>
            </w:r>
            <w:r>
              <w:rPr>
                <w:sz w:val="18"/>
              </w:rPr>
              <w:t xml:space="preserve"> Party B: _____      Cross Default Amount $_______</w:t>
            </w:r>
          </w:p>
          <w:p>
            <w:pPr>
              <w:pStyle w:val="Normal"/>
              <w:widowControl/>
              <w:bidi w:val="0"/>
              <w:jc w:val="start"/>
              <w:rPr>
                <w:sz w:val="18"/>
              </w:rPr>
            </w:pPr>
            <w:r>
              <w:rPr>
                <w:sz w:val="24"/>
              </w:rPr>
              <w:tab/>
            </w:r>
            <w:r>
              <w:rPr>
                <w:rFonts w:ascii="WP TypographicSymbols" w:hAnsi="WP TypographicSymbols"/>
                <w:sz w:val="24"/>
              </w:rPr>
              <w:t></w:t>
            </w:r>
            <w:r>
              <w:rPr>
                <w:sz w:val="24"/>
              </w:rPr>
              <w:t xml:space="preserve"> </w:t>
            </w:r>
            <w:r>
              <w:rPr>
                <w:sz w:val="18"/>
              </w:rPr>
              <w:t>Other</w:t>
            </w:r>
            <w:r>
              <w:rPr>
                <w:sz w:val="24"/>
              </w:rPr>
              <w:t xml:space="preserve">: </w:t>
            </w:r>
            <w:r>
              <w:rPr>
                <w:sz w:val="18"/>
              </w:rPr>
              <w:t>_______ Cross Default Amount $_______</w:t>
            </w:r>
          </w:p>
          <w:p>
            <w:pPr>
              <w:pStyle w:val="Normal"/>
              <w:widowControl/>
              <w:bidi w:val="0"/>
              <w:jc w:val="start"/>
              <w:rPr>
                <w:sz w:val="18"/>
              </w:rPr>
            </w:pPr>
            <w:r>
              <w:rPr>
                <w:sz w:val="18"/>
              </w:rPr>
              <w:t>Guarantor for Party A: _________________________</w:t>
              <w:tab/>
              <w:t>Amount of Guaranty: _______</w:t>
            </w:r>
          </w:p>
          <w:p>
            <w:pPr>
              <w:pStyle w:val="Normal"/>
              <w:widowControl/>
              <w:bidi w:val="0"/>
              <w:jc w:val="start"/>
              <w:rPr>
                <w:sz w:val="18"/>
              </w:rPr>
            </w:pPr>
            <w:r>
              <w:rPr>
                <w:sz w:val="18"/>
              </w:rPr>
              <w:t>Guarantor for Party B: _________________________</w:t>
              <w:tab/>
              <w:t>Amount of Guaranty: _______</w:t>
            </w:r>
          </w:p>
          <w:p>
            <w:pPr>
              <w:pStyle w:val="Normal"/>
              <w:widowControl/>
              <w:bidi w:val="0"/>
              <w:jc w:val="start"/>
              <w:rPr>
                <w:sz w:val="18"/>
              </w:rPr>
            </w:pPr>
            <w:r>
              <w:rPr>
                <w:sz w:val="18"/>
              </w:rPr>
              <w:t>5.6 (Setoff):</w:t>
            </w:r>
          </w:p>
          <w:p>
            <w:pPr>
              <w:pStyle w:val="Normal"/>
              <w:widowControl/>
              <w:tabs>
                <w:tab w:val="left" w:pos="720" w:leader="none"/>
                <w:tab w:val="left" w:pos="1440" w:leader="none"/>
                <w:tab w:val="left" w:pos="2160" w:leader="none"/>
                <w:tab w:val="left" w:pos="2880" w:leader="none"/>
              </w:tabs>
              <w:bidi w:val="0"/>
              <w:jc w:val="start"/>
              <w:rPr>
                <w:sz w:val="18"/>
              </w:rPr>
            </w:pPr>
            <w:r>
              <w:rPr>
                <w:sz w:val="18"/>
              </w:rPr>
              <w:t xml:space="preserve">    </w:t>
            </w:r>
            <w:r>
              <w:rPr>
                <w:sz w:val="18"/>
              </w:rPr>
              <w:tab/>
            </w:r>
            <w:r>
              <w:rPr>
                <w:rFonts w:ascii="WP TypographicSymbols" w:hAnsi="WP TypographicSymbols"/>
                <w:sz w:val="24"/>
              </w:rPr>
              <w:t></w:t>
            </w:r>
            <w:r>
              <w:rPr>
                <w:sz w:val="18"/>
              </w:rPr>
              <w:t xml:space="preserve"> Option A (Applicable if no other selection is made.)</w:t>
            </w:r>
          </w:p>
          <w:p>
            <w:pPr>
              <w:pStyle w:val="Normal"/>
              <w:widowContro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B</w:t>
            </w:r>
          </w:p>
          <w:p>
            <w:pPr>
              <w:pStyle w:val="Normal"/>
              <w:widowControl/>
              <w:tabs>
                <w:tab w:val="left" w:pos="720" w:leader="none"/>
                <w:tab w:val="left" w:pos="1440" w:leader="none"/>
                <w:tab w:val="left" w:pos="2160" w:leader="none"/>
                <w:tab w:val="left" w:pos="2880" w:leader="none"/>
              </w:tabs>
              <w:bidi w:val="0"/>
              <w:jc w:val="start"/>
              <w:rPr>
                <w:sz w:val="18"/>
              </w:rPr>
            </w:pPr>
            <w:r>
              <w:rPr>
                <w:sz w:val="18"/>
              </w:rPr>
              <w:tab/>
            </w:r>
            <w:r>
              <w:rPr>
                <w:rFonts w:ascii="WP TypographicSymbols" w:hAnsi="WP TypographicSymbols"/>
                <w:sz w:val="24"/>
              </w:rPr>
              <w:t></w:t>
            </w:r>
            <w:r>
              <w:rPr>
                <w:sz w:val="18"/>
              </w:rPr>
              <w:t xml:space="preserve"> Option C (No Setoff)</w:t>
            </w:r>
          </w:p>
          <w:p>
            <w:pPr>
              <w:pStyle w:val="Normal"/>
              <w:widowControl/>
              <w:tabs>
                <w:tab w:val="left" w:pos="720" w:leader="none"/>
                <w:tab w:val="left" w:pos="1440" w:leader="none"/>
                <w:tab w:val="left" w:pos="2160" w:leader="none"/>
                <w:tab w:val="left" w:pos="2880" w:leader="none"/>
              </w:tabs>
              <w:bidi w:val="0"/>
              <w:jc w:val="start"/>
              <w:rPr/>
            </w:pPr>
            <w:r>
              <w:rPr>
                <w:sz w:val="18"/>
              </w:rPr>
              <w:tab/>
              <w:tab/>
              <w:tab/>
              <w:t xml:space="preserve">                  </w:t>
            </w:r>
          </w:p>
        </w:tc>
      </w:tr>
      <w:tr>
        <w:trPr>
          <w:trHeight w:val="403" w:hRule="atLeast"/>
          <w:cantSplit w:val="true"/>
        </w:trPr>
        <w:tc>
          <w:tcPr>
            <w:tcW w:w="2520" w:type="dxa"/>
            <w:tcBorders/>
          </w:tcPr>
          <w:p>
            <w:pPr>
              <w:pStyle w:val="Normal"/>
              <w:widowControl/>
              <w:bidi w:val="0"/>
              <w:jc w:val="start"/>
              <w:rPr>
                <w:sz w:val="18"/>
              </w:rPr>
            </w:pPr>
            <w:r>
              <w:rPr>
                <w:sz w:val="18"/>
              </w:rPr>
              <w:t>Article 8</w:t>
            </w:r>
          </w:p>
          <w:p>
            <w:pPr>
              <w:pStyle w:val="Normal"/>
              <w:widowControl/>
              <w:bidi w:val="0"/>
              <w:jc w:val="start"/>
              <w:rPr/>
            </w:pPr>
            <w:r>
              <w:rPr>
                <w:sz w:val="18"/>
              </w:rPr>
              <w:t>Credit and Collateral Requirements</w:t>
            </w:r>
          </w:p>
        </w:tc>
        <w:tc>
          <w:tcPr>
            <w:tcW w:w="7559" w:type="dxa"/>
            <w:tcBorders/>
          </w:tcPr>
          <w:p>
            <w:pPr>
              <w:pStyle w:val="Normal"/>
              <w:widowControl/>
              <w:bidi w:val="0"/>
              <w:jc w:val="start"/>
              <w:rPr>
                <w:sz w:val="18"/>
              </w:rPr>
            </w:pPr>
            <w:r>
              <w:rPr>
                <w:sz w:val="18"/>
              </w:rPr>
              <w:t>8.1 Credit Information:</w:t>
            </w:r>
          </w:p>
          <w:p>
            <w:pPr>
              <w:pStyle w:val="Normal"/>
              <w:widowControl/>
              <w:bidi w:val="0"/>
              <w:jc w:val="start"/>
              <w:rPr>
                <w:sz w:val="18"/>
              </w:rPr>
            </w:pPr>
            <w:r>
              <w:rPr>
                <w:sz w:val="18"/>
              </w:rPr>
              <w:t>Party A:</w:t>
              <w:tab/>
              <w:tab/>
              <w:tab/>
              <w:tab/>
              <w:tab/>
              <w:tab/>
              <w:tab/>
            </w:r>
          </w:p>
          <w:p>
            <w:pPr>
              <w:pStyle w:val="Normal"/>
              <w:widowControl/>
              <w:bidi w:val="0"/>
              <w:jc w:val="start"/>
              <w:rPr>
                <w:sz w:val="18"/>
              </w:rPr>
            </w:pPr>
            <w:r>
              <w:rPr>
                <w:sz w:val="18"/>
              </w:rPr>
              <w:tab/>
            </w:r>
            <w:r>
              <w:rPr>
                <w:rFonts w:ascii="WP TypographicSymbols" w:hAnsi="WP TypographicSymbols"/>
                <w:sz w:val="18"/>
              </w:rPr>
              <w:t></w:t>
            </w:r>
            <w:r>
              <w:rPr>
                <w:sz w:val="18"/>
              </w:rPr>
              <w:t xml:space="preserve"> Option A</w:t>
            </w:r>
            <w:r>
              <w:rPr>
                <w:sz w:val="24"/>
              </w:rPr>
              <w:tab/>
              <w:tab/>
              <w:tab/>
              <w:tab/>
              <w:tab/>
              <w:tab/>
              <w:tab/>
              <w:tab/>
              <w:tab/>
            </w:r>
            <w:r>
              <w:rPr>
                <w:rFonts w:ascii="WP TypographicSymbols" w:hAnsi="WP TypographicSymbols"/>
                <w:sz w:val="18"/>
              </w:rPr>
              <w:t></w:t>
            </w:r>
            <w:r>
              <w:rPr>
                <w:sz w:val="18"/>
              </w:rPr>
              <w:t xml:space="preserve"> Option B      Specify :______________________</w:t>
            </w:r>
          </w:p>
          <w:p>
            <w:pPr>
              <w:pStyle w:val="Normal"/>
              <w:widowContro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widowControl/>
              <w:bidi w:val="0"/>
              <w:jc w:val="start"/>
              <w:rPr>
                <w:sz w:val="18"/>
              </w:rPr>
            </w:pPr>
            <w:r>
              <w:rPr>
                <w:sz w:val="18"/>
              </w:rPr>
            </w:r>
          </w:p>
          <w:p>
            <w:pPr>
              <w:pStyle w:val="Normal"/>
              <w:widowControl/>
              <w:bidi w:val="0"/>
              <w:jc w:val="start"/>
              <w:rPr>
                <w:sz w:val="18"/>
              </w:rPr>
            </w:pPr>
            <w:r>
              <w:rPr>
                <w:sz w:val="18"/>
              </w:rPr>
              <w:t>Party B:</w:t>
            </w:r>
          </w:p>
          <w:p>
            <w:pPr>
              <w:pStyle w:val="Normal"/>
              <w:widowControl/>
              <w:bidi w:val="0"/>
              <w:jc w:val="start"/>
              <w:rPr>
                <w:sz w:val="18"/>
              </w:rPr>
            </w:pPr>
            <w:r>
              <w:rPr>
                <w:sz w:val="18"/>
              </w:rPr>
              <w:tab/>
            </w:r>
            <w:r>
              <w:rPr>
                <w:rFonts w:ascii="WP TypographicSymbols" w:hAnsi="WP TypographicSymbols"/>
                <w:sz w:val="18"/>
              </w:rPr>
              <w:t></w:t>
            </w:r>
            <w:r>
              <w:rPr>
                <w:sz w:val="18"/>
              </w:rPr>
              <w:t xml:space="preserve"> Option A</w:t>
            </w:r>
            <w:r>
              <w:rPr>
                <w:sz w:val="24"/>
              </w:rPr>
              <w:tab/>
            </w:r>
          </w:p>
          <w:p>
            <w:pPr>
              <w:pStyle w:val="Normal"/>
              <w:widowControl/>
              <w:bidi w:val="0"/>
              <w:jc w:val="start"/>
              <w:rPr>
                <w:sz w:val="18"/>
              </w:rPr>
            </w:pPr>
            <w:r>
              <w:rPr>
                <w:sz w:val="18"/>
              </w:rPr>
              <w:tab/>
            </w:r>
            <w:r>
              <w:rPr>
                <w:rFonts w:ascii="WP TypographicSymbols" w:hAnsi="WP TypographicSymbols"/>
                <w:sz w:val="18"/>
              </w:rPr>
              <w:t></w:t>
            </w:r>
            <w:r>
              <w:rPr>
                <w:sz w:val="18"/>
              </w:rPr>
              <w:t xml:space="preserve"> Option B      Specify :______________________</w:t>
            </w:r>
          </w:p>
          <w:p>
            <w:pPr>
              <w:pStyle w:val="Normal"/>
              <w:widowControl/>
              <w:bidi w:val="0"/>
              <w:jc w:val="start"/>
              <w:rPr>
                <w:sz w:val="18"/>
              </w:rPr>
            </w:pPr>
            <w:r>
              <w:rPr>
                <w:sz w:val="18"/>
              </w:rPr>
              <w:tab/>
            </w:r>
            <w:r>
              <w:rPr>
                <w:rFonts w:ascii="WP TypographicSymbols" w:hAnsi="WP TypographicSymbols"/>
                <w:sz w:val="18"/>
              </w:rPr>
              <w:t></w:t>
            </w:r>
            <w:r>
              <w:rPr>
                <w:sz w:val="18"/>
              </w:rPr>
              <w:t xml:space="preserve"> Option C      Specify:______________________</w:t>
            </w:r>
          </w:p>
          <w:p>
            <w:pPr>
              <w:pStyle w:val="Normal"/>
              <w:widowControl/>
              <w:bidi w:val="0"/>
              <w:jc w:val="start"/>
              <w:rPr>
                <w:sz w:val="18"/>
              </w:rPr>
            </w:pPr>
            <w:r>
              <w:rPr>
                <w:sz w:val="18"/>
              </w:rPr>
              <w:t xml:space="preserve">8.2    </w:t>
            </w:r>
            <w:r>
              <w:rPr>
                <w:rFonts w:ascii="WP TypographicSymbols" w:hAnsi="WP TypographicSymbols"/>
                <w:sz w:val="24"/>
              </w:rPr>
              <w:t></w:t>
            </w:r>
            <w:r>
              <w:rPr>
                <w:sz w:val="18"/>
              </w:rPr>
              <w:t xml:space="preserve"> Applicable if no other selection is made.</w:t>
            </w:r>
          </w:p>
          <w:p>
            <w:pPr>
              <w:pStyle w:val="Normal"/>
              <w:widowControl/>
              <w:bidi w:val="0"/>
              <w:jc w:val="start"/>
              <w:rPr>
                <w:sz w:val="18"/>
              </w:rPr>
            </w:pPr>
            <w:r>
              <w:rPr>
                <w:sz w:val="18"/>
              </w:rPr>
              <w:t xml:space="preserve">8.3    </w:t>
            </w:r>
            <w:r>
              <w:rPr>
                <w:rFonts w:ascii="WP TypographicSymbols" w:hAnsi="WP TypographicSymbols"/>
                <w:sz w:val="24"/>
              </w:rPr>
              <w:t></w:t>
            </w:r>
            <w:r>
              <w:rPr>
                <w:sz w:val="18"/>
              </w:rPr>
              <w:t>    Option A</w:t>
              <w:tab/>
              <w:tab/>
            </w:r>
            <w:r>
              <w:rPr>
                <w:rFonts w:ascii="WP TypographicSymbols" w:hAnsi="WP TypographicSymbols"/>
                <w:sz w:val="24"/>
              </w:rPr>
              <w:t></w:t>
            </w:r>
            <w:r>
              <w:rPr>
                <w:sz w:val="18"/>
              </w:rPr>
              <w:t xml:space="preserve"> Option B</w:t>
            </w:r>
          </w:p>
          <w:p>
            <w:pPr>
              <w:pStyle w:val="Normal"/>
              <w:widowControl/>
              <w:bidi w:val="0"/>
              <w:jc w:val="start"/>
              <w:rPr>
                <w:sz w:val="18"/>
              </w:rPr>
            </w:pPr>
            <w:r>
              <w:rPr>
                <w:sz w:val="18"/>
              </w:rPr>
              <w:t>Party A Collateral Threshold: $_________; provided, however, that each Party’s Collateral Threshold shall be zero if an Event of    Default or Potential Event of Default with respect to such Party has occurred and is continuing.</w:t>
            </w:r>
          </w:p>
          <w:p>
            <w:pPr>
              <w:pStyle w:val="Normal"/>
              <w:widowControl/>
              <w:bidi w:val="0"/>
              <w:jc w:val="start"/>
              <w:rPr>
                <w:sz w:val="18"/>
              </w:rPr>
            </w:pPr>
            <w:r>
              <w:rPr>
                <w:sz w:val="18"/>
              </w:rPr>
              <w:t>Party B Collateral Threshold: $ __________; provided, however, that each Party’s Collateral Threshold shall be zero if an Event of    Default or Potential Event of Default with respect to such Party has occurred and is continuing.</w:t>
            </w:r>
          </w:p>
          <w:p>
            <w:pPr>
              <w:pStyle w:val="Normal"/>
              <w:widowControl/>
              <w:bidi w:val="0"/>
              <w:jc w:val="start"/>
              <w:rPr>
                <w:sz w:val="18"/>
              </w:rPr>
            </w:pPr>
            <w:r>
              <w:rPr>
                <w:sz w:val="18"/>
              </w:rPr>
              <w:t>Party A Independent Amount: $__________</w:t>
            </w:r>
          </w:p>
          <w:p>
            <w:pPr>
              <w:pStyle w:val="Normal"/>
              <w:widowControl/>
              <w:bidi w:val="0"/>
              <w:jc w:val="start"/>
              <w:rPr>
                <w:sz w:val="18"/>
              </w:rPr>
            </w:pPr>
            <w:r>
              <w:rPr>
                <w:sz w:val="18"/>
              </w:rPr>
              <w:t>Party B Independent Amount: $__________</w:t>
            </w:r>
          </w:p>
          <w:p>
            <w:pPr>
              <w:pStyle w:val="Normal"/>
              <w:widowControl/>
              <w:bidi w:val="0"/>
              <w:jc w:val="start"/>
              <w:rPr>
                <w:sz w:val="18"/>
              </w:rPr>
            </w:pPr>
            <w:r>
              <w:rPr>
                <w:sz w:val="18"/>
              </w:rPr>
              <w:t>Party A Rounding Amount:          $__________</w:t>
            </w:r>
          </w:p>
          <w:p>
            <w:pPr>
              <w:pStyle w:val="Normal"/>
              <w:widowControl/>
              <w:bidi w:val="0"/>
              <w:jc w:val="start"/>
              <w:rPr>
                <w:sz w:val="18"/>
              </w:rPr>
            </w:pPr>
            <w:r>
              <w:rPr>
                <w:sz w:val="18"/>
              </w:rPr>
              <w:t>Party B Rounding Amount:          $__________</w:t>
            </w:r>
          </w:p>
          <w:p>
            <w:pPr>
              <w:pStyle w:val="Normal"/>
              <w:widowControl/>
              <w:bidi w:val="0"/>
              <w:jc w:val="start"/>
              <w:rPr>
                <w:sz w:val="18"/>
              </w:rPr>
            </w:pPr>
            <w:r>
              <w:rPr>
                <w:sz w:val="18"/>
              </w:rPr>
            </w:r>
          </w:p>
          <w:p>
            <w:pPr>
              <w:pStyle w:val="Normal"/>
              <w:widowControl/>
              <w:bidi w:val="0"/>
              <w:jc w:val="start"/>
              <w:rPr>
                <w:sz w:val="18"/>
              </w:rPr>
            </w:pPr>
            <w:r>
              <w:rPr>
                <w:sz w:val="18"/>
              </w:rPr>
              <w:t>8.4 Downgrade Event applicable</w:t>
            </w:r>
          </w:p>
          <w:p>
            <w:pPr>
              <w:pStyle w:val="Normal"/>
              <w:widowControl/>
              <w:bidi w:val="0"/>
              <w:jc w:val="start"/>
              <w:rPr>
                <w:sz w:val="18"/>
              </w:rPr>
            </w:pPr>
            <w:r>
              <w:rPr>
                <w:sz w:val="18"/>
              </w:rPr>
              <w:t xml:space="preserve"> </w:t>
            </w:r>
            <w:r>
              <w:rPr>
                <w:rFonts w:ascii="WP TypographicSymbols" w:hAnsi="WP TypographicSymbols"/>
                <w:sz w:val="24"/>
              </w:rPr>
              <w:t></w:t>
            </w:r>
            <w:r>
              <w:rPr>
                <w:sz w:val="18"/>
              </w:rPr>
              <w:t xml:space="preserve"> </w:t>
            </w:r>
            <w:r>
              <w:rPr>
                <w:sz w:val="18"/>
              </w:rPr>
              <w:t>It shall be a Downgrade Event for Party A if __________’s Credit Rating falls below __________ from S&amp;P or    __________ from Moody’s or if    _________ is not rated    by either S&amp;P or Moody’s</w:t>
            </w:r>
          </w:p>
          <w:p>
            <w:pPr>
              <w:pStyle w:val="Normal"/>
              <w:widowControl/>
              <w:bidi w:val="0"/>
              <w:jc w:val="start"/>
              <w:rPr>
                <w:sz w:val="18"/>
              </w:rPr>
            </w:pPr>
            <w:r>
              <w:rPr>
                <w:rFonts w:ascii="WP TypographicSymbols" w:hAnsi="WP TypographicSymbols"/>
                <w:sz w:val="24"/>
              </w:rPr>
              <w:t></w:t>
            </w:r>
            <w:r>
              <w:rPr>
                <w:sz w:val="18"/>
              </w:rPr>
              <w:t xml:space="preserve"> </w:t>
            </w:r>
            <w:r>
              <w:rPr>
                <w:sz w:val="18"/>
              </w:rPr>
              <w:t>Other:</w:t>
            </w:r>
          </w:p>
          <w:p>
            <w:pPr>
              <w:pStyle w:val="Normal"/>
              <w:widowControl/>
              <w:bidi w:val="0"/>
              <w:jc w:val="start"/>
              <w:rPr>
                <w:sz w:val="18"/>
              </w:rPr>
            </w:pPr>
            <w:r>
              <w:rPr>
                <w:sz w:val="18"/>
              </w:rPr>
              <w:t>Specify: _____</w:t>
            </w:r>
          </w:p>
          <w:p>
            <w:pPr>
              <w:pStyle w:val="Normal"/>
              <w:widowControl/>
              <w:bidi w:val="0"/>
              <w:jc w:val="start"/>
              <w:rPr>
                <w:sz w:val="18"/>
              </w:rPr>
            </w:pPr>
            <w:r>
              <w:rPr>
                <w:sz w:val="24"/>
              </w:rPr>
              <w:t xml:space="preserve"> </w:t>
            </w:r>
            <w:r>
              <w:rPr>
                <w:rFonts w:ascii="WP TypographicSymbols" w:hAnsi="WP TypographicSymbols"/>
                <w:sz w:val="24"/>
              </w:rPr>
              <w:t></w:t>
            </w:r>
            <w:r>
              <w:rPr>
                <w:sz w:val="24"/>
              </w:rPr>
              <w:t xml:space="preserve"> </w:t>
            </w:r>
            <w:r>
              <w:rPr>
                <w:sz w:val="18"/>
              </w:rPr>
              <w:t xml:space="preserve">It shall be a Downgrade Event for Party B if __________’s Credit Rating falls below __________ from S&amp;P or    __________ from Moody’s or if    __________ is not rated by either S&amp;P or Moody’s </w:t>
            </w:r>
          </w:p>
          <w:p>
            <w:pPr>
              <w:pStyle w:val="Normal"/>
              <w:widowControl/>
              <w:bidi w:val="0"/>
              <w:jc w:val="start"/>
              <w:rPr>
                <w:sz w:val="18"/>
              </w:rPr>
            </w:pPr>
            <w:r>
              <w:rPr>
                <w:sz w:val="24"/>
              </w:rPr>
              <w:t xml:space="preserve"> </w:t>
            </w:r>
            <w:r>
              <w:rPr>
                <w:rFonts w:ascii="WP TypographicSymbols" w:hAnsi="WP TypographicSymbols"/>
                <w:sz w:val="24"/>
              </w:rPr>
              <w:t></w:t>
            </w:r>
            <w:r>
              <w:rPr>
                <w:sz w:val="18"/>
              </w:rPr>
              <w:t xml:space="preserve"> </w:t>
            </w:r>
            <w:r>
              <w:rPr>
                <w:sz w:val="18"/>
              </w:rPr>
              <w:t>Other:</w:t>
            </w:r>
          </w:p>
          <w:p>
            <w:pPr>
              <w:pStyle w:val="Normal"/>
              <w:widowControl/>
              <w:bidi w:val="0"/>
              <w:jc w:val="start"/>
              <w:rPr>
                <w:sz w:val="18"/>
              </w:rPr>
            </w:pPr>
            <w:r>
              <w:rPr>
                <w:sz w:val="18"/>
              </w:rPr>
              <w:t>Specify: ______________________</w:t>
            </w:r>
          </w:p>
          <w:p>
            <w:pPr>
              <w:pStyle w:val="Normal"/>
              <w:widowControl/>
              <w:bidi w:val="0"/>
              <w:jc w:val="start"/>
              <w:rPr>
                <w:sz w:val="18"/>
              </w:rPr>
            </w:pPr>
            <w:r>
              <w:rPr>
                <w:sz w:val="18"/>
              </w:rPr>
            </w:r>
          </w:p>
          <w:p>
            <w:pPr>
              <w:pStyle w:val="Normal"/>
              <w:widowControl/>
              <w:bidi w:val="0"/>
              <w:jc w:val="start"/>
              <w:rPr>
                <w:sz w:val="18"/>
              </w:rPr>
            </w:pPr>
            <w:r>
              <w:rPr>
                <w:sz w:val="18"/>
              </w:rPr>
              <w:t xml:space="preserve">8.5    </w:t>
            </w:r>
            <w:r>
              <w:rPr>
                <w:rFonts w:ascii="WP TypographicSymbols" w:hAnsi="WP TypographicSymbols"/>
                <w:sz w:val="24"/>
              </w:rPr>
              <w:t></w:t>
            </w:r>
            <w:r>
              <w:rPr>
                <w:sz w:val="18"/>
              </w:rPr>
              <w:t xml:space="preserve">    </w:t>
            </w:r>
          </w:p>
          <w:p>
            <w:pPr>
              <w:pStyle w:val="Normal"/>
              <w:widowControl/>
              <w:bidi w:val="0"/>
              <w:jc w:val="start"/>
              <w:rPr>
                <w:sz w:val="24"/>
              </w:rPr>
            </w:pPr>
            <w:r>
              <w:rPr>
                <w:sz w:val="24"/>
              </w:rPr>
            </w:r>
          </w:p>
        </w:tc>
      </w:tr>
      <w:tr>
        <w:trPr>
          <w:trHeight w:val="403" w:hRule="atLeast"/>
          <w:cantSplit w:val="true"/>
        </w:trPr>
        <w:tc>
          <w:tcPr>
            <w:tcW w:w="2520" w:type="dxa"/>
            <w:tcBorders/>
          </w:tcPr>
          <w:p>
            <w:pPr>
              <w:pStyle w:val="Normal"/>
              <w:widowControl/>
              <w:bidi w:val="0"/>
              <w:jc w:val="start"/>
              <w:rPr>
                <w:sz w:val="18"/>
              </w:rPr>
            </w:pPr>
            <w:r>
              <w:rPr>
                <w:sz w:val="18"/>
              </w:rPr>
              <w:t>Article 10</w:t>
            </w:r>
          </w:p>
          <w:p>
            <w:pPr>
              <w:pStyle w:val="Normal"/>
              <w:widowControl/>
              <w:bidi w:val="0"/>
              <w:jc w:val="start"/>
              <w:rPr/>
            </w:pPr>
            <w:r>
              <w:rPr>
                <w:sz w:val="18"/>
              </w:rPr>
              <w:t>Confidentiality</w:t>
            </w:r>
          </w:p>
        </w:tc>
        <w:tc>
          <w:tcPr>
            <w:tcW w:w="7559" w:type="dxa"/>
            <w:tcBorders/>
          </w:tcPr>
          <w:p>
            <w:pPr>
              <w:pStyle w:val="Normal"/>
              <w:widowControl/>
              <w:bidi w:val="0"/>
              <w:jc w:val="start"/>
              <w:rPr>
                <w:sz w:val="24"/>
              </w:rPr>
            </w:pPr>
            <w:r>
              <w:rPr>
                <w:sz w:val="18"/>
              </w:rPr>
              <w:t xml:space="preserve">Confidentiality Applicable    </w:t>
            </w:r>
            <w:r>
              <w:rPr>
                <w:rFonts w:ascii="WP TypographicSymbols" w:hAnsi="WP TypographicSymbols"/>
                <w:sz w:val="24"/>
              </w:rPr>
              <w:t></w:t>
            </w:r>
            <w:r>
              <w:rPr>
                <w:sz w:val="18"/>
              </w:rPr>
              <w:t>    If not checked, inapplicable.</w:t>
            </w:r>
            <w:r>
              <w:rPr>
                <w:sz w:val="24"/>
              </w:rPr>
              <w:t xml:space="preserve"> </w:t>
            </w:r>
          </w:p>
          <w:p>
            <w:pPr>
              <w:pStyle w:val="Normal"/>
              <w:widowControl/>
              <w:bidi w:val="0"/>
              <w:jc w:val="start"/>
              <w:rPr>
                <w:sz w:val="24"/>
              </w:rPr>
            </w:pPr>
            <w:r>
              <w:rPr>
                <w:sz w:val="24"/>
              </w:rPr>
            </w:r>
          </w:p>
        </w:tc>
      </w:tr>
      <w:tr>
        <w:trPr>
          <w:trHeight w:val="403" w:hRule="atLeast"/>
          <w:cantSplit w:val="true"/>
        </w:trPr>
        <w:tc>
          <w:tcPr>
            <w:tcW w:w="2520" w:type="dxa"/>
            <w:tcBorders/>
          </w:tcPr>
          <w:p>
            <w:pPr>
              <w:pStyle w:val="Normal"/>
              <w:widowControl/>
              <w:tabs>
                <w:tab w:val="clear" w:pos="720"/>
              </w:tabs>
              <w:bidi w:val="0"/>
              <w:jc w:val="start"/>
              <w:rPr>
                <w:sz w:val="18"/>
              </w:rPr>
            </w:pPr>
            <w:r>
              <w:rPr>
                <w:sz w:val="18"/>
              </w:rPr>
              <w:t>Schedule M</w:t>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sz w:val="18"/>
              </w:rPr>
            </w:pPr>
            <w:r>
              <w:rPr>
                <w:sz w:val="18"/>
              </w:rPr>
            </w:r>
          </w:p>
          <w:p>
            <w:pPr>
              <w:pStyle w:val="Normal"/>
              <w:widowControl/>
              <w:tabs>
                <w:tab w:val="clear" w:pos="720"/>
              </w:tabs>
              <w:bidi w:val="0"/>
              <w:jc w:val="start"/>
              <w:rPr/>
            </w:pPr>
            <w:r>
              <w:rPr>
                <w:sz w:val="18"/>
              </w:rPr>
              <w:t>Schedule PP</w:t>
            </w:r>
          </w:p>
        </w:tc>
        <w:tc>
          <w:tcPr>
            <w:tcW w:w="7559" w:type="dxa"/>
            <w:tcBorders/>
          </w:tcPr>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Governmental Entity and Schedule M is applicable</w:t>
            </w:r>
          </w:p>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Governmental Entity and Schedule M is applicable</w:t>
            </w:r>
          </w:p>
          <w:p>
            <w:pPr>
              <w:pStyle w:val="Normal"/>
              <w:widowControl/>
              <w:tabs>
                <w:tab w:val="clear" w:pos="720"/>
              </w:tabs>
              <w:bidi w:val="0"/>
              <w:jc w:val="start"/>
              <w:rPr>
                <w:sz w:val="18"/>
              </w:rPr>
            </w:pPr>
            <w:r>
              <w:rPr>
                <w:sz w:val="18"/>
              </w:rPr>
              <w:t xml:space="preserve"> </w:t>
            </w:r>
            <w:r>
              <w:rPr>
                <w:rFonts w:ascii="WP TypographicSymbols" w:hAnsi="WP TypographicSymbols"/>
                <w:sz w:val="24"/>
              </w:rPr>
              <w:t></w:t>
            </w:r>
            <w:r>
              <w:rPr>
                <w:sz w:val="24"/>
              </w:rPr>
              <w:t xml:space="preserve"> </w:t>
            </w:r>
            <w:r>
              <w:rPr>
                <w:sz w:val="18"/>
              </w:rPr>
              <w:t>Add 3.5</w:t>
            </w:r>
          </w:p>
          <w:p>
            <w:pPr>
              <w:pStyle w:val="Normal"/>
              <w:widowControl/>
              <w:tabs>
                <w:tab w:val="clear" w:pos="720"/>
              </w:tabs>
              <w:bidi w:val="0"/>
              <w:jc w:val="start"/>
              <w:rPr>
                <w:sz w:val="18"/>
              </w:rPr>
            </w:pPr>
            <w:r>
              <w:rPr>
                <w:sz w:val="18"/>
              </w:rPr>
              <w:t xml:space="preserve"> </w:t>
            </w:r>
            <w:r>
              <w:rPr>
                <w:rFonts w:ascii="WP TypographicSymbols" w:hAnsi="WP TypographicSymbols"/>
                <w:sz w:val="24"/>
              </w:rPr>
              <w:t></w:t>
            </w:r>
            <w:r>
              <w:rPr>
                <w:sz w:val="18"/>
              </w:rPr>
              <w:t xml:space="preserve"> </w:t>
            </w:r>
            <w:r>
              <w:rPr>
                <w:sz w:val="18"/>
              </w:rPr>
              <w:t>Add 8.6</w:t>
            </w:r>
          </w:p>
          <w:p>
            <w:pPr>
              <w:pStyle w:val="Normal"/>
              <w:widowControl/>
              <w:tabs>
                <w:tab w:val="clear" w:pos="720"/>
              </w:tabs>
              <w:bidi w:val="0"/>
              <w:jc w:val="start"/>
              <w:rPr>
                <w:sz w:val="24"/>
              </w:rPr>
            </w:pPr>
            <w:r>
              <w:rPr>
                <w:sz w:val="24"/>
              </w:rPr>
            </w:r>
          </w:p>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A is a Public Power System and Schedule PP is applicable</w:t>
            </w:r>
          </w:p>
          <w:p>
            <w:pPr>
              <w:pStyle w:val="Normal"/>
              <w:widowControl/>
              <w:tabs>
                <w:tab w:val="clear" w:pos="720"/>
              </w:tabs>
              <w:bidi w:val="0"/>
              <w:jc w:val="start"/>
              <w:rPr>
                <w:sz w:val="18"/>
              </w:rPr>
            </w:pPr>
            <w:r>
              <w:rPr>
                <w:sz w:val="24"/>
              </w:rPr>
              <w:t xml:space="preserve"> </w:t>
            </w:r>
            <w:r>
              <w:rPr>
                <w:rFonts w:ascii="WP TypographicSymbols" w:hAnsi="WP TypographicSymbols"/>
                <w:sz w:val="24"/>
              </w:rPr>
              <w:t></w:t>
            </w:r>
            <w:r>
              <w:rPr>
                <w:sz w:val="18"/>
              </w:rPr>
              <w:t xml:space="preserve"> </w:t>
            </w:r>
            <w:r>
              <w:rPr>
                <w:sz w:val="18"/>
              </w:rPr>
              <w:t>Party B is a Public Power System and Schedule PP is applicable</w:t>
            </w:r>
          </w:p>
          <w:p>
            <w:pPr>
              <w:pStyle w:val="Normal"/>
              <w:widowControl/>
              <w:tabs>
                <w:tab w:val="clear" w:pos="720"/>
              </w:tabs>
              <w:bidi w:val="0"/>
              <w:jc w:val="start"/>
              <w:rPr>
                <w:sz w:val="24"/>
              </w:rPr>
            </w:pPr>
            <w:r>
              <w:rPr>
                <w:sz w:val="24"/>
              </w:rPr>
            </w:r>
          </w:p>
        </w:tc>
      </w:tr>
    </w:tbl>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 xml:space="preserve">      </w:t>
      </w:r>
      <w:r>
        <w:rPr>
          <w:sz w:val="18"/>
        </w:rPr>
        <w:t xml:space="preserve">Other Changes:    </w:t>
        <w:tab/>
        <w:tab/>
        <w:tab/>
        <w:t>        Specify, if any: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ab/>
        <w:tab/>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t>IN WITNESS WHEREOF, the Parties have caused this Master Agreement to be duly executed as of the date first above written.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start"/>
        <w:rPr>
          <w:sz w:val="18"/>
        </w:rPr>
      </w:pPr>
      <w:r>
        <w:rPr>
          <w:sz w:val="18"/>
        </w:rPr>
        <w:t>Party A Name</w:t>
        <w:tab/>
        <w:tab/>
        <w:tab/>
        <w:tab/>
        <w:tab/>
        <w:tab/>
        <w:t>Party B Name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By: ____________________________________</w:t>
        <w:tab/>
        <w:tab/>
        <w:t>By: 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Name: __________________________________</w:t>
        <w:tab/>
        <w:t>Name: 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18"/>
        </w:rPr>
      </w:pPr>
      <w:r>
        <w:rPr>
          <w:sz w:val="18"/>
        </w:rPr>
      </w:r>
    </w:p>
    <w:p>
      <w:pPr>
        <w:sectPr>
          <w:footerReference w:type="even" r:id="rId2"/>
          <w:footerReference w:type="default" r:id="rId3"/>
          <w:footerReference w:type="first" r:id="rId4"/>
          <w:type w:val="nextPage"/>
          <w:pgSz w:w="12240" w:h="15840"/>
          <w:pgMar w:left="720" w:right="1440" w:gutter="0" w:header="0" w:top="720" w:footer="1056" w:bottom="1113"/>
          <w:pgNumType w:fmt="decimal"/>
          <w:formProt w:val="false"/>
          <w:titlePg/>
          <w:textDirection w:val="lrTb"/>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18"/>
        </w:rPr>
      </w:pPr>
      <w:r>
        <w:rPr>
          <w:sz w:val="18"/>
        </w:rPr>
        <w:t>Title: ___________________________________</w:t>
        <w:tab/>
        <w:t>Title: ___________________________________</w:t>
      </w:r>
      <w:r>
        <w:br w:type="page"/>
      </w:r>
    </w:p>
    <w:p>
      <w:pPr>
        <w:pStyle w:val="Normal"/>
        <w:widowControl/>
        <w:bidi w:val="0"/>
        <w:jc w:val="start"/>
        <w:rPr>
          <w:sz w:val="24"/>
        </w:rPr>
      </w:pPr>
      <w:r>
        <w:rPr>
          <w:sz w:val="24"/>
        </w:rPr>
      </w:r>
    </w:p>
    <w:p>
      <w:pPr>
        <w:sectPr>
          <w:footerReference w:type="even" r:id="rId5"/>
          <w:footerReference w:type="default" r:id="rId6"/>
          <w:footerReference w:type="first" r:id="rId7"/>
          <w:type w:val="nextPage"/>
          <w:pgSz w:w="12240" w:h="15840"/>
          <w:pgMar w:left="1440" w:right="1440" w:gutter="0" w:header="0" w:top="1440" w:footer="1056" w:bottom="1440"/>
          <w:pgNumType w:fmt="decimal"/>
          <w:formProt w:val="false"/>
          <w:textDirection w:val="lrTb"/>
        </w:sectPr>
      </w:pP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r>
      <w:r>
        <w:rPr>
          <w:b/>
          <w:sz w:val="24"/>
          <w:u w:val="single"/>
        </w:rPr>
        <w:t>GENERAL TERMS AND CONDITIONS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GENERAL DEFINITIONS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1.1</w:t>
        <w:tab/>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160" w:start="2160"/>
        <w:jc w:val="both"/>
        <w:rPr>
          <w:sz w:val="24"/>
        </w:rPr>
      </w:pPr>
      <w:r>
        <w:rPr>
          <w:sz w:val="24"/>
        </w:rPr>
        <w:tab/>
        <w:t>1.2</w:t>
        <w:tab/>
        <w:t xml:space="preserve">“Agreement” has the meaning set forth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w:t>
        <w:tab/>
        <w:t>“Bankrupt” means with respect to a any entity, such entity (i) files a petition or otherwise commences, authorizes or acquiesces in the commencement of a proceeding or cause of action under any bankruptcy, insolvency, reorganization or similar law, or has any such petition filed or commenced against it and such petition is not dismissed within thirty (30) days,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w:t>
        <w:tab/>
        <w:t>“Business Day” means any day except a Saturday, Sunday, a Federal Reserve Bank holiday or a holiday as defined by the North American Electric Reliability Council or any successor organization thereto.    A Business Day shall open at 8:00 a.m. and close at 5:00 p.m. local time for the relevant Party’s principal place of business.    The relevant Party, in each instance unless other specified, shall be the Party to whom the notice, payment or delivery is being sent and by whom the notice or payment or delivery is to be received.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w:t>
        <w:tab/>
        <w:t>“Buyer” means the Party to a Transaction that is obligated to purchase and receive, or cause to be received, the Product.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1.6</w:t>
        <w:tab/>
        <w:t>“Claiming Party”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1.7</w:t>
        <w:tab/>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1.8</w:t>
        <w:tab/>
        <w:t>“Confirmation” has the meaning set forth in Section 2.3.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1.9</w:t>
        <w:tab/>
        <w:t>“Contract Price” means the price in $U.S. (unless otherwise provided for) to be paid by Buyer to Seller for the purchase of the Product,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1.10</w:t>
        <w:tab/>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1.11</w:t>
        <w:tab/>
        <w:t>“Credit Rating” means, with respect to any entity, the rating then assigned to such entity as an issuer rating or to such entity’s unsecured, senior long-term debt or deposit obligations (not supported by third party credit enhancements) by S&amp;P, Moody’s or any other rating agency agreed by the Parties as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1.12</w:t>
        <w:tab/>
        <w:t>“Cross Default Amount” means the cross default amount, if any, set forth in the Cover Sheet for a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1.13</w:t>
        <w:tab/>
        <w:t>“Defaulting Party”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1.14</w:t>
        <w:tab/>
        <w:t>“Delivery Period” means the period of delivery for a Transaction, as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1.15</w:t>
        <w:tab/>
        <w:t>“Delivery Point” means the point at which the Product will be delivered and received, as specified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1.16</w:t>
        <w:tab/>
        <w:t>“Downgrade Event”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1.17</w:t>
        <w:tab/>
        <w:t>“Early Termination Date”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1.18</w:t>
        <w:tab/>
        <w:t>“Effective Date” has the meaning set forth on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1.19</w:t>
        <w:tab/>
        <w:t>“Estimated Duration (FM)” has the meaning set forth in Section 3.3.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1.20</w:t>
        <w:tab/>
        <w:t>“Event of Default” has the meaning set forth in Section 5.1.</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1.21</w:t>
        <w:tab/>
        <w:t>“FERC” means the Federal Energy Regulatory Commission or any successor government agency.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1.22</w:t>
        <w:tab/>
        <w:t xml:space="preserve">“Force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Force Majeure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interruption by a Transmission Provider unless (i) such Party has contracted for firm transmission with a Transmission Provider for the Product to be delivered to or received at the Delivery Point and (ii) such interruption is due to “force majeure” or “uncontrollable force” or a similar term as defined under the Transmission Provider’s tariff; provided, however, that existence of the foregoing factors solely shall not be sufficient to conclusively or presumptively prove the existence of a Force Majeure absent a showing of other facts and circumstances which in the aggregate with such factors establish that a Force Majeure as defined in the first sentence hereof has occurred.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1.23</w:t>
        <w:tab/>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1.24</w:t>
        <w:tab/>
        <w:t xml:space="preserve">“Guarantor” means, with respect to a Party, the guarantor, if any, specified for such Party on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1.25</w:t>
        <w:tab/>
        <w:t xml:space="preserve">“Interest Rate” means, for any date, the lesser of (a) the per annum rate of interest equal to the prime lending rate as may from time to time be published in </w:t>
      </w:r>
      <w:r>
        <w:rPr>
          <w:i/>
          <w:sz w:val="24"/>
        </w:rPr>
        <w:t>The</w:t>
      </w:r>
      <w:r>
        <w:rPr>
          <w:sz w:val="24"/>
        </w:rPr>
        <w:t xml:space="preserve"> </w:t>
      </w:r>
      <w:r>
        <w:rPr>
          <w:i/>
          <w:sz w:val="24"/>
        </w:rPr>
        <w:t>Wall Street Journal</w:t>
      </w:r>
      <w:r>
        <w:rPr>
          <w:sz w:val="24"/>
        </w:rPr>
        <w:t xml:space="preserve"> under “Money Rates” on such day (or if not published on such day on the most recent preceding day on which published), plus two percent (2%) and (b) the maximum rate permitted by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1.26</w:t>
        <w:tab/>
        <w:t>“Letter(s) of Credit” means one or more irrevocable, transferable standby letters of credit issued by a U.S. commercial bank with such bank having a credit rating of at least A- from S&amp;P or A3 from Moody’s, in a form acceptable to the Party in whose favor the letter of credit is issued.    Costs of a Letter of Credit shall be borne by the applicant for such Letter of Credit.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1.27</w:t>
        <w:tab/>
        <w:t xml:space="preserve">“Losses” means, with respect to any Party, an amount equal to the present value of the economic loss to it, if any (exclusive of Costs),    resulting from the termination of a Terminated Transaction, determined in a commercially reasonable manner. 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920" w:start="9360"/>
        <w:jc w:val="both"/>
        <w:rPr>
          <w:sz w:val="24"/>
        </w:rPr>
      </w:pPr>
      <w:r>
        <w:rPr>
          <w:sz w:val="24"/>
        </w:rPr>
        <w:t>1.28</w:t>
        <w:tab/>
        <w:t xml:space="preserve">“Master Agreement” has the meaning set forth on the Cover Sheet.    </w:t>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1.29</w:t>
        <w:tab/>
        <w:t xml:space="preserve">“Moody’s” means Moody’s Investor Services,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1.30</w:t>
        <w:tab/>
        <w:t>“Non-Defaulting Party”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1.31</w:t>
        <w:tab/>
        <w:t>“Option Buyer” means the Party specified in a Transaction as the purchaser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1.32</w:t>
        <w:tab/>
        <w:t>“Option Seller” means the Party specified in a Transaction as the seller of an Option.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1.33</w:t>
        <w:tab/>
        <w:t>“Party A Collateral Threshold” means the collateral threshold, if any, set forth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1.34</w:t>
        <w:tab/>
        <w:t>“Party B Collateral Threshold” means the collateral threshold, if any, set forth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1.35</w:t>
        <w:tab/>
        <w:t>“Party A Independent Amount means the amount of unsecured debt,    if any, set forth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1.36</w:t>
        <w:tab/>
        <w:t>“Party B Independent Amount” means the amount of unsecured debt, if any, set forth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1.37</w:t>
        <w:tab/>
        <w:t>“Party A Tariff” means the tariff, if any, specified in the Cover Sheet for Party 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1.38</w:t>
        <w:tab/>
        <w:t>“Party B Tariff” means the tariff, if any, specified in the Cover Sheet for 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1.39</w:t>
        <w:tab/>
        <w:t xml:space="preserve">“Performance Assurance” means collateral provided as margin in the form of either cash, Letter(s) of Credit,    or other security acceptable to the requesting Party. 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1.40</w:t>
        <w:tab/>
        <w:t>“Potential Event of Default” means an event which, with notice or passage of time or both, would constitute an Event Of Default.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1.41</w:t>
        <w:tab/>
        <w:t>“Product” means electric capacity, energy or other product(s) related thereto as specified in a Transaction by reference to a Product listed in Schedule P hereto or as otherwise specified by the Parties in any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1.42</w:t>
        <w:tab/>
        <w:t>“Quantity” means that quantity of the Product that Seller agrees to make available or sell and deliver, or cause to be delivered, to Buyer, and that Buyer agrees to purchase and receive, or cause to be received, from Seller as specified in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1.43</w:t>
        <w:tab/>
        <w:t xml:space="preserve">“Recording” has the meaning set forth in Section 2.4. 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1.44</w:t>
        <w:tab/>
        <w:t>“Replacement Price” means the price at which Buyer, acting in a commercially reasonable manner, purchases a replacement for any Product specified in a Transaction but not delivered by Seller or, at Buyer’s option, the market price for such Product not delivered at the Delivery Point as determined by Buyer in a commercially reasonable manner; provided, however, in no event shall such price include any penalties, ratcheted demand or similar charges.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1.45</w:t>
        <w:tab/>
        <w:t>“Rounding Amount” means the amount, if any, set forth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1.46</w:t>
        <w:tab/>
        <w:t xml:space="preserve">“S&amp;P” means the Standard &amp; Poor’s Rating Group (a division of McGraw-Hill, Inc.) or its successor. 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1.47</w:t>
        <w:tab/>
        <w:t>“Sales Price” means the price at which Seller, acting in a commercially reasonable manner, resells any Product not received by Buyer or at Seller’s option, the market price for such Product not received at the Delivery Point as determined by Seller in a commercially reasonable manner; provided, however, in no event shall such price include any penalties, ratcheted demand or similar charges, nor shall a Party be required to utilize or change its utilization of its owned or controlled assets, including contractual assets, or market positions to minimize the other Party’s liability for damages. 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1.48</w:t>
        <w:tab/>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1.49</w:t>
        <w:tab/>
        <w:t>“Seller” means the Party to a Transaction that is obligated to sell and deliver, or cause to be delivered, the Product.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1.50</w:t>
        <w:tab/>
        <w:t>“Settlement Amount” means, with respect to a Transaction and the Non</w:t>
        <w:noBreakHyphen/>
        <w:t>Defaulting Party, the Losses or Gains, and Costs, expressed in U.S. Dollars, which such party incurs as a result of the liquidation of a Terminated Transaction pursuant to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1.51</w:t>
        <w:tab/>
        <w:t>“Terminated Transaction” has the meaning set forth in Section 5.2.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1.52</w:t>
        <w:tab/>
        <w:t>“Termination Payment” has the meaning set forth in Section 5.3.</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1.53</w:t>
        <w:tab/>
        <w:t>“Transaction” means a particular transaction agreed to by the Parties relating to the sale and purchase of a Product pursuant to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u w:val="single"/>
        </w:rPr>
      </w:pPr>
      <w:r>
        <w:rPr>
          <w:sz w:val="24"/>
        </w:rPr>
        <w:tab/>
        <w:t>1.54</w:t>
        <w:tab/>
        <w:t>“Transmission Provider” means any entity or entities transmitting or transporting the Product on behalf of Seller or Buyer to or from the Delivery Point in a particular Transaction.</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TWO</w:t>
      </w:r>
      <w:r>
        <w:rPr>
          <w:b/>
          <w:sz w:val="24"/>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u w:val="single"/>
        </w:rPr>
      </w:pPr>
      <w:r>
        <w:rPr>
          <w:b/>
          <w:sz w:val="22"/>
        </w:rPr>
        <w:t>TRANSACTION TERMS AND CONDITIONS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2.1</w:t>
        <w:tab/>
      </w:r>
      <w:r>
        <w:rPr>
          <w:sz w:val="24"/>
          <w:u w:val="single"/>
        </w:rPr>
        <w:t>Transactions</w:t>
      </w:r>
      <w:r>
        <w:rPr>
          <w:sz w:val="24"/>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any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2.2</w:t>
        <w:tab/>
      </w:r>
      <w:r>
        <w:rPr>
          <w:sz w:val="24"/>
          <w:u w:val="single"/>
        </w:rPr>
        <w:t>Governing Terms</w:t>
      </w:r>
      <w:r>
        <w:rPr>
          <w:sz w:val="24"/>
        </w:rPr>
        <w:t xml:space="preserve">. 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shall form a single integrated agreement between the Parties.    Any inconsistency between any terms of this Master Agreement and any terms of any Transaction shall be resolved in favor of the terms of such Transaction. 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2.3</w:t>
        <w:tab/>
      </w:r>
      <w:r>
        <w:rPr>
          <w:sz w:val="24"/>
          <w:u w:val="single"/>
        </w:rPr>
        <w:t>Confirmation</w:t>
      </w:r>
      <w:r>
        <w:rPr>
          <w:sz w:val="24"/>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date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any Transaction agreed to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2.4</w:t>
        <w:tab/>
      </w:r>
      <w:r>
        <w:rPr>
          <w:sz w:val="24"/>
          <w:u w:val="single"/>
        </w:rPr>
        <w:t>Recording</w:t>
      </w:r>
      <w:r>
        <w:rPr>
          <w:sz w:val="24"/>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THREE</w:t>
      </w:r>
      <w:r>
        <w:rPr>
          <w:b/>
          <w:sz w:val="24"/>
        </w:rPr>
        <w:t>:</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OBLIGATIONS AND DELIVERIES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3.1</w:t>
        <w:tab/>
      </w:r>
      <w:r>
        <w:rPr>
          <w:sz w:val="24"/>
          <w:u w:val="single"/>
        </w:rPr>
        <w:t>Seller's and Buyer's Obligations</w:t>
      </w:r>
      <w:r>
        <w:rPr>
          <w:sz w:val="24"/>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3.2</w:t>
        <w:tab/>
      </w:r>
      <w:r>
        <w:rPr>
          <w:sz w:val="24"/>
          <w:u w:val="single"/>
        </w:rPr>
        <w:t>Transmission and Scheduling</w:t>
      </w:r>
      <w:r>
        <w:rPr>
          <w:sz w:val="24"/>
        </w:rPr>
        <w:t xml:space="preserve">. 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Point.    Each Party shall designate authorized representatives to effect the Scheduling of the delivery of the Product. 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3.3</w:t>
        <w:tab/>
      </w:r>
      <w:r>
        <w:rPr>
          <w:sz w:val="24"/>
          <w:u w:val="single"/>
        </w:rPr>
        <w:t>Force Majeure</w:t>
      </w:r>
      <w:r>
        <w:rPr>
          <w:sz w:val="24"/>
        </w:rPr>
        <w:t>.    To the extent either Party is prevented by Force Majeure from carrying out, in whole or part, its obligations under any Transaction and such Party (the “Claiming Party”) gives notice and details of the Force Majeure to the other Party as soon as practicable, then, unless the terms of the Product specify otherwise, the Claiming Party shall be excused from the performance of its obligations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by Force Majeure.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FOUR: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REMEDIES FOR FAILURE TO DELIVER/RECEIVE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4.1</w:t>
        <w:tab/>
      </w:r>
      <w:r>
        <w:rPr>
          <w:sz w:val="24"/>
          <w:u w:val="single"/>
        </w:rPr>
        <w:t>Seller Failure</w:t>
      </w:r>
      <w:r>
        <w:rPr>
          <w:sz w:val="24"/>
        </w:rPr>
        <w:t>.    If Seller fails to schedule and/or deliver all or part of the Product pursuant to a Transaction, and such failure is not excused by Force Majeure or otherwise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(i) the positive difference, if any, obtained by subtracting the Contract Price from the Replacement Price, plus (ii) amounts reasonably incurred by Buyer in purchasing such substitute Product, including additional transmission charges, if any, incurred by Buyer to the Delivery Point. 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4.2</w:t>
        <w:tab/>
      </w:r>
      <w:r>
        <w:rPr>
          <w:sz w:val="24"/>
          <w:u w:val="single"/>
        </w:rPr>
        <w:t>Buyer Failure</w:t>
      </w:r>
      <w:r>
        <w:rPr>
          <w:sz w:val="24"/>
        </w:rPr>
        <w:t>.    If Buyer fails to schedule and/or receive all or part of the Product pursuant to a Transaction and such failure is not excused by Force Majeure or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(i) the positive difference, if any, obtained by subtracting the Sales Price from the Contract Price, plus (ii) amounts reasonably incurred by Seller in reselling such Product, including additional transmission charges, if any, incurred by Seller to the Delivery Point.    The invoice for such amount shall include a written statement explaining in reasonable detail the calculation of such amount.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FIVE</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EVENTS OF DEFAULT; REMEDIES</w:t>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keepNext w:val="true"/>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5.1</w:t>
        <w:tab/>
      </w:r>
      <w:r>
        <w:rPr>
          <w:sz w:val="24"/>
          <w:u w:val="single"/>
        </w:rPr>
        <w:t>Events of Default</w:t>
      </w:r>
      <w:r>
        <w:rPr>
          <w:sz w:val="24"/>
        </w:rPr>
        <w:t>.    An “Event of Default” shall mean, with respect to a Party (a “Defaulting Party”), the occurrence of any of the following:</w:t>
      </w:r>
    </w:p>
    <w:p>
      <w:pPr>
        <w:pStyle w:val="Normal"/>
        <w:keepLines/>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(a)</w:t>
        <w:tab/>
        <w:t>the failure to make, when due, any payment required pursuant to this Agreement if such failure is not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(b)</w:t>
        <w:tab/>
        <w:t>any representation or warranty made by such Party herein that is false or misleading in any material respect when made or when deemed made or repeated;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(c)</w:t>
        <w:tab/>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(d)</w:t>
        <w:tab/>
        <w:t>such Party becomes Bankrupt;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(e)</w:t>
        <w:tab/>
        <w:t>the failure of such Party to satisfy the creditworthiness/collateral requirements agreed to pursuant to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(f)</w:t>
        <w:tab/>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Master Agreement to which it or its predecessor was a party by operation of law or pursuant to an agreement reasonably satisfactory to the other Party;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(g)</w:t>
        <w:tab/>
        <w:t>if the applicable cross default section in the Cover Sheet is indicated for such Party, the occurrence and continuation of (i) a default, event of default or other similar condition or event in respect to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(h)</w:t>
        <w:tab/>
        <w:t>with respect to such Party's Guarantor, if any: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w:t>
        <w:tab/>
        <w:t>if any representation or warranty made by a Guarantor in connection with this Master Agreement is false or misleading in any material respect when made or when deemed made or repeated;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w:t>
        <w:tab/>
        <w:t>the failure of a Guarantor to make any payment required or to perform any other material covenant or obligation in any guaranty made in connection with this Master Agreement and such failure shall not be remedied within three (3) Business Days after written notice;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(iii)</w:t>
        <w:tab/>
        <w:t xml:space="preserve">a Guarantor becomes Bankrupt;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(iv)</w:t>
        <w:tab/>
        <w:t>the failure of a Guarantor to meet the creditworthiness/collateral requirements as set forth in Article Eight hereof;</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both"/>
        <w:rPr>
          <w:sz w:val="24"/>
        </w:rPr>
      </w:pPr>
      <w:r>
        <w:rPr>
          <w:sz w:val="24"/>
        </w:rPr>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(v)</w:t>
        <w:tab/>
        <w:t>the failure of a Guarantor’s guaranty to be in full force and effect for purposes of this Master Agreement (other than in accordance with its terms) prior to the satisfaction of all obligations of such Party under each Transaction to which such guaranty shall relate without the written consent of the other Party; or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880"/>
        <w:jc w:val="both"/>
        <w:rPr>
          <w:sz w:val="24"/>
        </w:rPr>
      </w:pPr>
      <w:r>
        <w:rPr>
          <w:sz w:val="24"/>
        </w:rPr>
        <w:t>(vi)</w:t>
        <w:tab/>
        <w:t xml:space="preserve">a Guarantor shall repudiate, disaffirm, disclaim, or reject, in whole or in part, or challenge the validity of any guaranty.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5.2</w:t>
        <w:tab/>
      </w:r>
      <w:r>
        <w:rPr>
          <w:sz w:val="24"/>
          <w:u w:val="single"/>
        </w:rPr>
        <w:t>Declaration of an Early Termination Date and Calculation of Settlement Amounts</w:t>
      </w:r>
      <w:r>
        <w:rPr>
          <w:sz w:val="24"/>
        </w:rPr>
        <w:t>.    If an Event of Default with respect to a Defaulting Party shall have occurred and be continuing, the other Party (the “Non</w:t>
        <w:noBreakHyphen/>
        <w:t>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and (ii) withhold any payments due to the Defaulting Party under this Agreement.    The Non</w:t>
        <w:noBreakHyphen/>
        <w:t>Defaulting Party shall calculate, in a commercially reasonable manner, a Settlement Amount for each such Terminated Transaction as of the Early Termination Date (or, to the extent that in the reasonable opinion of the Non</w:t>
        <w:noBreakHyphen/>
        <w:t>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5.3</w:t>
        <w:tab/>
      </w:r>
      <w:r>
        <w:rPr>
          <w:sz w:val="24"/>
          <w:u w:val="single"/>
        </w:rPr>
        <w:t>Net Out of Settlement Amounts</w:t>
      </w:r>
      <w:r>
        <w:rPr>
          <w:sz w:val="24"/>
        </w:rPr>
        <w:t>.    The Non-Defaulting Party shall aggregate all Settlement Amounts into a single amount by:    netting out (a) all Settlement Amounts that are due to the Defaulting Party, plus, at the option of the Non-Defaulting Party, any cash or other form of security then available to the Non</w:t>
        <w:noBreakHyphen/>
        <w:t>Defaulting Party pursuant to Article Eight, plus any or all other amounts due to the Defaulting Party under this Agreement against (b) all Settlement Amounts that are due to the Non</w:t>
        <w:noBreakHyphen/>
        <w:t>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w:t>
        <w:noBreakHyphen/>
        <w:t>Defaulting Party as appropriate.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5.4</w:t>
        <w:tab/>
      </w:r>
      <w:r>
        <w:rPr>
          <w:sz w:val="24"/>
          <w:u w:val="single"/>
        </w:rPr>
        <w:t>Notice of Payment of Termination Payment</w:t>
      </w:r>
      <w:r>
        <w:rPr>
          <w:sz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given.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5.5</w:t>
        <w:tab/>
      </w:r>
      <w:r>
        <w:rPr>
          <w:sz w:val="24"/>
          <w:u w:val="single"/>
        </w:rPr>
        <w:t>Disputes With Respect to Termination Payment</w:t>
      </w:r>
      <w:r>
        <w:rPr>
          <w:sz w:val="24"/>
        </w:rPr>
        <w:t>.    If the Defaulting Party disputes the Non</w:t>
        <w:noBreakHyphen/>
        <w:t>Defaulting Party's calculation of the Termination Payment, in whole or in part, the Defaulting Party shall, within two (2) Business Days of receipt of Non</w:t>
        <w:noBreakHyphen/>
        <w:t>Defaulting Party's calculation of the Termination Payment, provide to the Non</w:t>
        <w:noBreakHyphen/>
        <w:t>Defaulting Party a detailed written explanation of the basis for such dispute; provided, however, that if the Termination Payment is due from the Defaulting Party, the Defaulting Party shall first transfer Performance Assurance to the Non</w:t>
        <w:noBreakHyphen/>
        <w:t xml:space="preserve">Defaulting Party in an amount equal to the Termination Payment.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5.6</w:t>
        <w:tab/>
      </w:r>
      <w:r>
        <w:rPr>
          <w:sz w:val="24"/>
          <w:u w:val="single"/>
        </w:rPr>
        <w:t>Closeout Setoffs</w:t>
      </w:r>
      <w:r>
        <w:rPr>
          <w:sz w:val="24"/>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 xml:space="preserve">Option A: </w:t>
      </w:r>
      <w:r>
        <w:rPr>
          <w:sz w:val="24"/>
        </w:rPr>
        <w:t xml:space="preserve">After calculation of a Termination Payment in accordance with Section 5.3,    if the Defaulting Party would be owed the Termination Payment, the Non-Defaulting Party shall be entitled, at its option and in its discretion, to (i) set off against such Termination Payment any amounts payable by the Defaulting Party to the Non-Defaulting Party under any other agreements, instruments or undertakings between the Defaulting Party and the Non-Defaulting Party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B:</w:t>
      </w:r>
      <w:r>
        <w:rPr>
          <w:sz w:val="24"/>
        </w:rPr>
        <w:t xml:space="preserve"> After calculation of a Termination Payment in accordance with Section 5.3,    if the Defaulting Party would be owed the Termination Payment, the Non-Defaulting Party shall be entitled, at its option and in its discretion, to (i) set off against such Termination Payment any amounts payable by the Defaulting Party to the Non-Defaulting Party    or any of its Affiliates under any other agreements, instruments or undertakings between the Defaulting Party and the Non-Defaulting Party or any of its Affiliates and/or (ii) to the extent any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r>
        <w:rPr>
          <w:b/>
          <w:sz w:val="24"/>
        </w:rPr>
        <w:t>Option C:</w:t>
      </w:r>
      <w:r>
        <w:rPr>
          <w:sz w:val="24"/>
        </w:rPr>
        <w:t xml:space="preserve"> Neither Option A nor B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5.7</w:t>
        <w:tab/>
      </w:r>
      <w:r>
        <w:rPr>
          <w:sz w:val="24"/>
          <w:u w:val="single"/>
        </w:rPr>
        <w:t>Suspension of Performance</w:t>
      </w:r>
      <w:r>
        <w:rPr>
          <w:sz w:val="24"/>
        </w:rPr>
        <w:t xml:space="preserve">.    Notwithstanding any other provision of this Master Agreement, after the occurrence of (a) an Event of Default so long as the Event of Default is continuing and has not been cured or (b) a Potential Event of Default, the Non-Defaulting Party, upon written notice to the Defaulting Party, shall have the right (1) to suspend performance under any or all Transactions; provided, however, in no event shall any such suspension continue for longer than ten (10) Business Days with respect to any single Transaction unless notice pursuant to Section 5.2 has been given, and (2) to exercise any remedy available at law or in equity.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u w:val="single"/>
        </w:rPr>
        <w:t>ARTICLE SIX</w:t>
      </w:r>
      <w:r>
        <w:rPr>
          <w:b/>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rPr>
        <w:t>PAYMENT AND NETTING</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6.1</w:t>
        <w:tab/>
      </w:r>
      <w:r>
        <w:rPr>
          <w:sz w:val="24"/>
          <w:u w:val="single"/>
        </w:rPr>
        <w:t>Billing Period</w:t>
      </w:r>
      <w:r>
        <w:rPr>
          <w:sz w:val="24"/>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6.2</w:t>
        <w:tab/>
      </w:r>
      <w:r>
        <w:rPr>
          <w:sz w:val="24"/>
          <w:u w:val="single"/>
        </w:rPr>
        <w:t>Timeliness of Payment</w:t>
      </w:r>
      <w:r>
        <w:rPr>
          <w:sz w:val="24"/>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then on the next Business Day.    Each Party will make payments by electronic funds transfer, or by other mutually agreeable method(s), to the account designated by the other Party.    Any amounts, both principal and interest, not paid by the due date will be deemed delinquent and will accrue interest at the Interest Rate, such interest to be calculated from and including the due date to but excluding the date the unpaid amount is paid in full.</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6.3</w:t>
        <w:tab/>
      </w:r>
      <w:r>
        <w:rPr>
          <w:sz w:val="24"/>
          <w:u w:val="single"/>
        </w:rPr>
        <w:t>Disputes and Adjustments of Invoices</w:t>
      </w:r>
      <w:r>
        <w:rPr>
          <w:sz w:val="24"/>
        </w:rPr>
        <w:t>.    A Party may, in good faith, dispute the correctness of any invoice or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If it is determined that an adjustment to the invoice is appropriate, then such payment shall be required to be made within two (2) Business Days of such determination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6.4</w:t>
        <w:tab/>
      </w:r>
      <w:r>
        <w:rPr>
          <w:sz w:val="24"/>
          <w:u w:val="single"/>
        </w:rPr>
        <w:t>Netting of Payments</w:t>
      </w:r>
      <w:r>
        <w:rPr>
          <w:sz w:val="24"/>
        </w:rPr>
        <w:t xml:space="preserve">.    The Parties hereby agree that they shall discharge mutual debts and payment obligations due and owing to each other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6.5</w:t>
        <w:tab/>
      </w:r>
      <w:r>
        <w:rPr>
          <w:sz w:val="24"/>
          <w:u w:val="single"/>
        </w:rPr>
        <w:t>Payment Obligation Absent Netting</w:t>
      </w:r>
      <w:r>
        <w:rPr>
          <w:sz w:val="24"/>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6.6</w:t>
        <w:tab/>
      </w:r>
      <w:r>
        <w:rPr>
          <w:sz w:val="24"/>
          <w:u w:val="single"/>
        </w:rPr>
        <w:t>Security</w:t>
      </w:r>
      <w:r>
        <w:rPr>
          <w:sz w:val="24"/>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6.7</w:t>
        <w:tab/>
      </w:r>
      <w:r>
        <w:rPr>
          <w:sz w:val="24"/>
          <w:u w:val="single"/>
        </w:rPr>
        <w:t>Payment for Options</w:t>
      </w:r>
      <w:r>
        <w:rPr>
          <w:sz w:val="24"/>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SEVEN: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LIMITATIONS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7.1</w:t>
        <w:tab/>
      </w:r>
      <w:r>
        <w:rPr>
          <w:sz w:val="24"/>
          <w:u w:val="single"/>
        </w:rPr>
        <w:t>Limitation of Remedies, Liability and Damages</w:t>
      </w:r>
      <w:r>
        <w:rPr>
          <w:sz w:val="24"/>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EIGHT: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CREDIT AND COLLATERAL REQUIREMENTS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applicable credit information requirement shall be as specified on the Cover Sheet.    If no option is checked, Option C shall apply exclusively.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8.1</w:t>
        <w:tab/>
        <w:t xml:space="preserve">Option A:    </w:t>
      </w:r>
      <w:r>
        <w:rPr>
          <w:sz w:val="24"/>
          <w:u w:val="single"/>
        </w:rPr>
        <w:t>Financial Information</w:t>
      </w:r>
      <w:r>
        <w:rPr>
          <w:sz w:val="24"/>
        </w:rPr>
        <w:t>.    If requested by a Party, the other Party shall deliver (i) within 120 days following the end of each fiscal year, a copy of such Party’s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B:    </w:t>
      </w:r>
      <w:r>
        <w:rPr>
          <w:sz w:val="24"/>
          <w:u w:val="single"/>
        </w:rPr>
        <w:t>Financial Information</w:t>
      </w:r>
      <w:r>
        <w:rPr>
          <w:sz w:val="24"/>
        </w:rPr>
        <w:t>.    If requested by a Party, the other Party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or such other principles then in effect;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Option C:    </w:t>
      </w:r>
      <w:r>
        <w:rPr>
          <w:sz w:val="24"/>
          <w:u w:val="single"/>
        </w:rPr>
        <w:t>Financial Information</w:t>
      </w:r>
      <w:r>
        <w:rPr>
          <w:sz w:val="24"/>
        </w:rPr>
        <w:t xml:space="preserve">.    A Party may request from the other Party the information specified in the Cover Sheet.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applicable creditworthiness/collateral requirements shall be specified in the Cover Sheet.    If neither option in Section 8.3 or Section 8.4 is checked, Section 8.2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8.2</w:t>
        <w:tab/>
      </w:r>
      <w:r>
        <w:rPr>
          <w:sz w:val="24"/>
          <w:u w:val="single"/>
        </w:rPr>
        <w:t>Credit Assurances</w:t>
      </w:r>
      <w:r>
        <w:rPr>
          <w:sz w:val="24"/>
        </w:rPr>
        <w:t>. If a Party (“Requesting Party”) has reasonable grounds to believe that the other Party's creditworthiness or performance under this Agreement has become unsatisfactory, the Requesting Party will provide the other Party with written notice requesting Performance Assurance in an amount determined by the Requesting Party in a commercially reasonable manner.    Upon receipt of such notice the other Party shall have three (3) Business Days to remedy the situation by providing Performance Assurance to the Requesting Party in an amount reasonably determined by the Requesting Party.    In the event that the other Party fails to provide such Performance Assurance, or a guaranty or other credit assurance acceptable to the Requesting Party within three (3) Business Days of receipt of notice, then an Event of Default under Article Five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8.3</w:t>
        <w:tab/>
        <w:t xml:space="preserve">Option A:    (a) </w:t>
      </w:r>
      <w:r>
        <w:rPr>
          <w:sz w:val="24"/>
          <w:u w:val="single"/>
        </w:rPr>
        <w:t>Party B Performance Assurance</w:t>
      </w:r>
      <w:r>
        <w:rPr>
          <w:sz w:val="24"/>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downwards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Option B:</w:t>
        <w:tab/>
        <w:t>(b)</w:t>
        <w:tab/>
      </w:r>
      <w:r>
        <w:rPr>
          <w:sz w:val="24"/>
          <w:u w:val="single"/>
        </w:rPr>
        <w:t>Party A Performance Assurance</w:t>
      </w:r>
      <w:r>
        <w:rPr>
          <w:sz w:val="24"/>
        </w:rPr>
        <w:t>. 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downwards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(c)</w:t>
        <w:tab/>
        <w:t>For purposes of Sections 8.3(a) and 8.3(b), the calculation of the Termination Payment shall be calculated by the Party requesting Performance Assurance pursuant to Section 5.3 as if all outstanding Transactions had been liquidated, and in addition thereto, shall include all amounts owed but not yet paid by one Party to the other whether or not such amounts are due, for performance already provided pursuant to any and all Transactions.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8.4</w:t>
        <w:tab/>
      </w:r>
      <w:r>
        <w:rPr>
          <w:sz w:val="24"/>
          <w:u w:val="single"/>
        </w:rPr>
        <w:t>Downgrade Event</w:t>
      </w:r>
      <w:r>
        <w:rPr>
          <w:sz w:val="24"/>
        </w:rPr>
        <w:t>.    If at any time there shall occur a Downgrade Event in respect of a Party (a "Downgraded Party"), then the other Party ( the "Requesting Party") may require the Downgraded Party to provide    Performance Assurance in an amount reasonably determined by the Requesting Party.    In the event a Downgraded Party shall fail to provide such Performance Assurance or a guaranty or other credit assurance within three (3) Business Days of receipt of notice, then an Event of Default will be deemed to have occurred.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8.5 </w:t>
        <w:tab/>
      </w:r>
      <w:r>
        <w:rPr>
          <w:sz w:val="24"/>
          <w:u w:val="single"/>
        </w:rPr>
        <w:t>Grant of Security Interest/Remedies</w:t>
      </w:r>
      <w:r>
        <w:rPr>
          <w:sz w:val="24"/>
        </w:rPr>
        <w:t>.    To secure its obligations under this Agreement    and to the extent either or both Parties deliver Performance Assurance hereunder, each Party hereby grants to the other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other Party, and each Party agrees to take such action as the other Party reasonably requires in order to perfect the other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ARTICLE NINE: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TAXES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8"/>
        </w:rPr>
      </w:pPr>
      <w:r>
        <w:rPr>
          <w:sz w:val="28"/>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8"/>
        </w:rPr>
        <w:tab/>
      </w:r>
      <w:r>
        <w:rPr>
          <w:sz w:val="24"/>
        </w:rPr>
        <w:t>9.1</w:t>
        <w:tab/>
      </w:r>
      <w:r>
        <w:rPr>
          <w:sz w:val="24"/>
          <w:u w:val="single"/>
        </w:rPr>
        <w:t>Cooperation</w:t>
      </w:r>
      <w:r>
        <w:rPr>
          <w:sz w:val="24"/>
        </w:rPr>
        <w:t>.    Each Party shall use reasonable efforts to implement the provisions of and to administer this Master Agreement in accordance with the intent of the parties to minimize Taxes, so long as neither Party is materially adversely affected by such efforts.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9.2</w:t>
        <w:tab/>
      </w:r>
      <w:r>
        <w:rPr>
          <w:sz w:val="24"/>
          <w:u w:val="single"/>
        </w:rPr>
        <w:t>Taxes</w:t>
      </w:r>
      <w:r>
        <w:rPr>
          <w:sz w:val="24"/>
        </w:rPr>
        <w:t>.</w:t>
        <w:tab/>
        <w:t>Seller shall pay or cause to be paid, all taxes, fees, levies, penalties, licenses or charges, imposed by any government authority (“Taxes”) on or with respect to the Product or a Transaction arising prior to the Delivery Point.    Buyer shall pay or cause to be paid, all Taxes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6 of this Agreement.    Nothing shall obligate or cause a Party to pay or be liable to pay any taxes for which it is exempt under the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u w:val="single"/>
        </w:rPr>
      </w:pPr>
      <w:r>
        <w:rPr>
          <w:b/>
          <w:sz w:val="24"/>
          <w:u w:val="single"/>
        </w:rPr>
        <w:t>ARTICLE TEN: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2"/>
        </w:rPr>
      </w:pPr>
      <w:r>
        <w:rPr>
          <w:b/>
          <w:sz w:val="22"/>
        </w:rPr>
        <w:t>MISCELLANEOUS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w:t>
        <w:tab/>
      </w:r>
      <w:r>
        <w:rPr>
          <w:sz w:val="24"/>
          <w:u w:val="single"/>
        </w:rPr>
        <w:t>Term of Master Agreement</w:t>
      </w:r>
      <w:r>
        <w:rPr>
          <w:sz w:val="24"/>
        </w:rPr>
        <w:t>.    The term of this Master Agreement shall commence on the Effective Date and shall remain in effect until terminated by either Party (a) upon (thirty) 30 days' prior written notice or (b) immediately upon written notice if there is a change in law or regulation renders this Agreement illegal or unenforceable; 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any Transaction(s) entered into prior to the effective date of such termination until both Parties have fulfilled all of their obligations with respect to such Transaction(s).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10.2</w:t>
        <w:tab/>
      </w:r>
      <w:r>
        <w:rPr>
          <w:sz w:val="24"/>
          <w:u w:val="single"/>
        </w:rPr>
        <w:t>Representations and Warranties</w:t>
      </w:r>
      <w:r>
        <w:rPr>
          <w:sz w:val="24"/>
        </w:rPr>
        <w:t xml:space="preserve">.    On the Effective Date and the date of entering into each Transaction, each Party represents and warrants to the other Party that: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(i)</w:t>
        <w:tab/>
        <w:t>it is duly organized, validly existing and in good standing under the laws of the jurisdiction of its formation;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(ii) </w:t>
        <w:tab/>
        <w:t>it has all regulatory authorizations necessary for it to legally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(iii) </w:t>
        <w:tab/>
        <w:t>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rule, regulation, order or the like applicable to it;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(iv) </w:t>
        <w:tab/>
        <w:t>this Master Agreement and each other document executed and delivered in accordance with this Master Agreement constitutes its legally valid and binding obligation enforceable against it in accordance with its terms;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(v)</w:t>
        <w:tab/>
        <w:t>it is not Bankrupt and there are no proceedings pending or being contemplated by it or, to its knowledge, threatened against it which would result in it being or becoming Bankrupt;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(vi) </w:t>
        <w:tab/>
        <w:t>there is not pending or, to its knowledge, threatened against it or any of its affiliates any legal proceedings that could materially adversely affect its ability to perform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(vii) </w:t>
        <w:tab/>
        <w:t>no Event of Default or Potential Event of Default with respect to it has occurred and is continuing;    and no such event or circumstance would occur as a result of its entering into or performing its obligations under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(viii) </w:t>
        <w:tab/>
        <w:t>it is acting for its own account, has made its own independent decision to enter into this Master Agreement and each Transaction and as to whether this Master Agreement and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(ix) </w:t>
        <w:tab/>
        <w:t>it is a “forward contract merchant” within the meaning of the United States Bankruptcy Code;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(x) </w:t>
        <w:tab/>
        <w:t>it has entered into this Master Agreement and each Transaction in connection with the conduct of its business and it has the capacity or ability to make or take delivery of all Products referred to in any Transaction to which it is a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(xi) </w:t>
        <w:tab/>
        <w:t xml:space="preserve">with respect to each Transaction involving the purchase or sale of a Product or an Option, it is a producer, processor, commercial user or merchant handling the Product, and it is entering into such Transaction for purposes related to its business as such;    and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2160"/>
        <w:jc w:val="both"/>
        <w:rPr>
          <w:sz w:val="24"/>
        </w:rPr>
      </w:pPr>
      <w:r>
        <w:rPr>
          <w:sz w:val="24"/>
        </w:rPr>
        <w:t xml:space="preserve">(xii) </w:t>
        <w:tab/>
        <w:t>the material economic terms of each Transaction are subject to individual negotiation by the Parties.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10.3</w:t>
        <w:tab/>
      </w:r>
      <w:r>
        <w:rPr>
          <w:sz w:val="24"/>
          <w:u w:val="single"/>
        </w:rPr>
        <w:t>Title and Risk of Loss</w:t>
      </w:r>
      <w:r>
        <w:rPr>
          <w:sz w:val="24"/>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10.4</w:t>
        <w:tab/>
      </w:r>
      <w:r>
        <w:rPr>
          <w:sz w:val="24"/>
          <w:u w:val="single"/>
        </w:rPr>
        <w:t>Indemnity</w:t>
      </w:r>
      <w:r>
        <w:rPr>
          <w:sz w:val="24"/>
        </w:rPr>
        <w:t>.    Except with regard to claims for damages or lost profits limited or excluded pursuant to Section 7.1 hereof,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10.5</w:t>
        <w:tab/>
      </w:r>
      <w:r>
        <w:rPr>
          <w:sz w:val="24"/>
          <w:u w:val="single"/>
        </w:rPr>
        <w:t>Assignment</w:t>
      </w:r>
      <w:r>
        <w:rPr>
          <w:sz w:val="24"/>
        </w:rPr>
        <w:t>.    Neither Party shall assign this Agreement or its rights without the prior written consent of the other Party; provided, however, either Party may, without the consent of the other Party (and without relieving itself from liability hereunder and without limiting, and subject to such other Party’s rights under this Agreement, including Articles 5 and 8),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10.6</w:t>
        <w:tab/>
      </w:r>
      <w:r>
        <w:rPr>
          <w:sz w:val="24"/>
          <w:u w:val="single"/>
        </w:rPr>
        <w:t>Governing Law</w:t>
      </w:r>
      <w:r>
        <w:rPr>
          <w:sz w:val="24"/>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10.7</w:t>
        <w:tab/>
      </w:r>
      <w:r>
        <w:rPr>
          <w:sz w:val="24"/>
          <w:u w:val="single"/>
        </w:rPr>
        <w:t>Notices</w:t>
      </w:r>
      <w:r>
        <w:rPr>
          <w:sz w:val="24"/>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10.8</w:t>
        <w:tab/>
      </w:r>
      <w:r>
        <w:rPr>
          <w:sz w:val="24"/>
          <w:u w:val="single"/>
        </w:rPr>
        <w:t>General</w:t>
      </w:r>
      <w:r>
        <w:rPr>
          <w:sz w:val="24"/>
        </w:rPr>
        <w:t>.    This Master Agreement (including the exhibits, schedules and any written supplements hereto), the Party A Tariff, if any, the Party B Tariff, if any, any designated collateral, credit support or margin agreement or similar arrangement between the Parties and all Transactions constitute the entire agreement between the Parties relating to the subject matter.    Notwithstanding the foregoing, any collateral, credit support or margin agreement or similar provisions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Master Agreement, such amendment will not    in any way affect outstanding Transactions under this Master Agreement without the prior written consent of the other Party.    Each Party further agrees that it will not assert, or defend itself, on the basis that any applicable tariff is inconsistent with this Master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10.9</w:t>
        <w:tab/>
      </w:r>
      <w:r>
        <w:rPr>
          <w:sz w:val="24"/>
          <w:u w:val="single"/>
        </w:rPr>
        <w:t>Audit</w:t>
      </w:r>
      <w:r>
        <w:rPr>
          <w:sz w:val="24"/>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10.10</w:t>
        <w:tab/>
      </w:r>
      <w:r>
        <w:rPr>
          <w:sz w:val="24"/>
          <w:u w:val="single"/>
        </w:rPr>
        <w:t>Forward Contract</w:t>
      </w:r>
      <w:r>
        <w:rPr>
          <w:sz w:val="24"/>
        </w:rPr>
        <w:t xml:space="preserve">.    The Parties acknowledge and agree that all Transactions constitute “forward contracts” within the meaning of the United States Bankruptcy Code. 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10.11</w:t>
        <w:tab/>
      </w:r>
      <w:r>
        <w:rPr>
          <w:sz w:val="24"/>
          <w:u w:val="single"/>
        </w:rPr>
        <w:t>Confidentiality</w:t>
      </w:r>
      <w:r>
        <w:rPr>
          <w:sz w:val="24"/>
        </w:rPr>
        <w:t>.    If the Parties have elected on the Cover Sheet to make this Section 10.11 applicable to this Agreement, neither Party shall disclose the terms or conditions of a Transaction under this Agreement to a third party (other than the Party's employees, lenders, counsel, accountants or advisors, or joint participants in a power pool,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0" w:top="1440" w:footer="1056" w:bottom="1440"/>
          <w:formProt w:val="false"/>
          <w:textDirection w:val="lrTb"/>
          <w:docGrid w:type="default" w:linePitch="312" w:charSpace="2047"/>
        </w:sectPr>
      </w:pPr>
    </w:p>
    <w:p>
      <w:pPr>
        <w:pStyle w:val="Normal"/>
        <w:widowControl/>
        <w:bidi w:val="0"/>
        <w:jc w:val="start"/>
        <w:rPr>
          <w:sz w:val="24"/>
        </w:rPr>
      </w:pPr>
      <w:r>
        <w:rPr>
          <w:b/>
          <w:sz w:val="24"/>
        </w:rPr>
        <w:t>SCHEDULE M</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(THIS SCHEDULE IS INCLUDED IF THE APPROPRIATE BOX ON THE COVER SHEET IS MARKED INDICATING A PARTY IS A GOVERNMENTAL ENTITY)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The Parties agree to add the following 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“Act” means ______________________________.</w:t>
      </w:r>
      <w:r>
        <w:rPr>
          <w:rStyle w:val="FootnoteReference"/>
        </w:rPr>
        <w:footnoteReference w:id="2"/>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“Governmental Entity” means a municipality, county, governmental board, agency, or other political subdivision or public entity of the United States, any State or territory or any foreign state.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“Special Fund” means a fund or account of the Governmental Entity set aside and or pledged to satisfy the Governmental Entity’s obligations hereunder out of which amounts shall be paid to satisfy all of the Governmental Entity’s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The following sentence shall be added to the end of the definition of “Force Majeure”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If the Claiming Party is a Governmental Entity, Force Majeure does not include any action taken by the Government Entity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The Parties agree to add the following representations and warranties to Section 10.2: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Further and with respect to a Party that is a Governmental Entity, such Government Entity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Governmental Entity’s ordinances, bylaws or other regulations, (ii) all persons making up the governing body of Governmental Entity are the duly elected or appointed incumbents in their positions and hold such positions in good standing in accordance with the Act and other applicable law, (iii) with respect to its contractual obligations hereunder and performance thereof, the Governmental Entity is not entitled to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 (iv) entry into and performance of this Master Agreement by Governmental Entity are for a proper public purpose within the meaning of the Act and all other relevant constitutional, organic or other governing documents and applicable law, (v) the term of this Master Agreement does not extend beyond any applicable limitation regarding (a) the term of office or duration of existence of the governing body of the Governmental Entity, (b) any period during which funds are appropriated for use under this Master Agreement, or (c) any other limitation imposed by the Act or other relevant constitutional, organic or other governing documents and applicable law, (vi) the Governmental Entity’s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Entity’s obligations hereunder and under each Transaction or (c) are to be made solely from a Special Fund, (vii) entry into and performance of this Master Agreement and each Transaction by the Governmental Entity will not adversely affect the exclusion from gross income for federal income tax purposes of interest on any obligation of Governmental Entity otherwise entitled to such exclusion, and (viii) obligations to make payments hereunder do not constitute any kind of indebtedness of Governmental Entity or create any kind of lien on, or security interest in, any property or revenues of Governmental Entity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 xml:space="preserve">Section 3.4.    </w:t>
      </w:r>
      <w:r>
        <w:rPr>
          <w:sz w:val="24"/>
          <w:u w:val="single"/>
        </w:rPr>
        <w:t>Governmental Entity’s Deliveries</w:t>
      </w:r>
      <w:r>
        <w:rPr>
          <w:sz w:val="24"/>
        </w:rPr>
        <w:t xml:space="preserve">.    On the Effective Date and as a condition to the obligations of the other Party hereunder, Governmental Entity shall provide the other Party hereto (i) certified copies of all ordinances, resolutions, public notices and other documents evidencing the necessary authorizations with respect to the execution, delivery and performance by Governmental Entity of this Master Agreement and (ii) an opinion of counsel for Governmental Entity, in form and substance reasonably satisfactory to the Other Party,    regarding the validity, binding effect and enforceability of this Master Agreement against Governmental Entity in respect of the Act and all other relevant constitutional organic or other governing documents and applicable law. 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w:t>
        <w:tab/>
        <w:t>If the appropriate box is checked on the Cover Sheet,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 xml:space="preserve">Section 3.5.    </w:t>
      </w:r>
      <w:r>
        <w:rPr>
          <w:sz w:val="24"/>
          <w:u w:val="single"/>
        </w:rPr>
        <w:t>Governmental Entity Security</w:t>
      </w:r>
      <w:r>
        <w:rPr>
          <w:sz w:val="24"/>
        </w:rPr>
        <w:t>.    With respect to each Transaction, Governmental Entity shall either (i) have created and set aside a Special Fund or (ii) upon execution of this Master Agreement and prior to the commencement of each subsequent fiscal year of Governmental Entity during any Delivery Period, obtain all necessary budgetary approvals and certifications for payment of all of its obligations under this Master Agreement for such fiscal year; any breach of this provision shall be deemed to have arisen during a fiscal period of Governmental Entity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shall be treated as the Defaulting Party.    Governmental Entity shall have allocated to the Special Fund or its general funds a revenue base that is adequate to cover Governmental Entity’s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w:t>
        <w:tab/>
        <w:t>If the appropriate box is checked on the Cover Sheet, the Parties agree to add the following 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 xml:space="preserve">Section 8.6.    </w:t>
      </w:r>
      <w:r>
        <w:rPr>
          <w:sz w:val="24"/>
          <w:u w:val="single"/>
        </w:rPr>
        <w:t>Governmental Security</w:t>
      </w:r>
      <w:r>
        <w:rPr>
          <w:sz w:val="24"/>
        </w:rPr>
        <w:t>.    As security for payment and performance of Governmental Entity’s obligations hereunder, Governmental Entity hereby pledges, sets over, assigns and grants to the other Party a security interest in all of Governmental Entity’s right, title and interest in and to all amounts deposited in the Special Fund, including all investments made with such funds and the proceeds thereof.    Governmental Entity hereby authorizes and directs the depository of the Special Fund to hold all such amounts deposited therein as bailee and custodian for the other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G.</w:t>
        <w:tab/>
        <w:t>The Parties agree to add the following sentence at the end of Section 10.6 - Governing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NOTWITHSTANDING THE FOREGOING, IN RESPECT OF THE APPLICABILITY OF THE ACT AS HEREIN PROVIDED, THE LAWS OF THE STATE OF _____________</w:t>
      </w:r>
      <w:r>
        <w:rPr>
          <w:rStyle w:val="FootnoteReference"/>
        </w:rPr>
        <w:footnoteReference w:id="3"/>
      </w:r>
      <w:r>
        <w:rPr>
          <w:sz w:val="24"/>
        </w:rPr>
        <w:t xml:space="preserve"> SHALL APPLY.</w:t>
      </w:r>
    </w:p>
    <w:p>
      <w:pPr>
        <w:sectPr>
          <w:footerReference w:type="default" r:id="rId8"/>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widowControl/>
        <w:bidi w:val="0"/>
        <w:jc w:val="start"/>
        <w:rPr>
          <w:sz w:val="24"/>
        </w:rPr>
      </w:pPr>
      <w:r>
        <w:rPr>
          <w:b/>
          <w:sz w:val="24"/>
        </w:rPr>
        <w:t>SCHEDULE P : PRODUCTS</w:t>
      </w:r>
      <w:r>
        <w:rPr>
          <w:sz w:val="24"/>
        </w:rPr>
        <w:t xml:space="preserve"> </w:t>
      </w:r>
      <w:r>
        <w:rPr>
          <w:b/>
          <w:sz w:val="24"/>
        </w:rPr>
        <w:t>AND RELATED DEFINITIONS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any Transaction.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“Call Option” means an Option entitling, but not obligating, the Option Buyer to purchase and receive the Product from the Option Seller at a price equal to the Strike Price for the Delivery Period for which the Option may be exercised, all as specified in a Transaction.    Upon proper exercise of the Option by the Option Buyer, the Option Seller will be obligated to sell and deliver the Product for the Delivery Period for which the Option has been exercised.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“Capacity” has the meaning specified in the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“Energy” means three-phase, 60-cycle alternating current electric energy, expressed in megawatt hours.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calculated as provided in Article Four.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calculated as provided in Article Four.    Force Majeure shall not excuse performance of a Firm (No Force Majeure)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“Firm (LD-System Reliability) means that the Product will be supplied from the owned or controlled generation or pre-existing purchased power assets of the system specified in any Transaction (the “System”).    Seller’s failure to perform its obligations shall be excused and Seller shall not be liable for any damages, including damages under Article Four, by Force Majeure, by Buyer’s failure to perform, or to the extent any failure to deliver shall be necessary to preserve the integrity of, or prevent or limit any instability on, the System or to the extent the total of the System’s Native Load, firm energy sales, and pre-existing Firm (LD-System Reliability) Transactions exceed the System’s projected available generation for the period of delivery of the Product less reserve requirements and pre-existing Firm (LD-System Reliability) purchases, as determined in the System’s reasonable judgment.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“Into ___________’s (the “Receiving Transmission Provider”) Transmission System Border, Seller’s Daily Choice” means that subject to the provisions set forth below (1) the Product will be delivered to an interface either (a) to the Receiving Transmission Provider’s transmission system border or (b) within the control area of the Receiving Transmission Provider, provided the Product is generated from a source within the Receiving Transmission Provider’s control area; and (2) Seller has the right on a daily prescheduled basis to designate the interface at which the Product will be delivered.    Notwithstanding the foregoing, an “Into” Product shall be subject to the following provisions: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r>
      <w:r>
        <w:rPr>
          <w:sz w:val="24"/>
        </w:rPr>
        <w:t>1.</w:t>
        <w:tab/>
      </w:r>
      <w:r>
        <w:rPr>
          <w:sz w:val="24"/>
          <w:u w:val="single"/>
        </w:rPr>
        <w:t>Scheduling</w:t>
      </w:r>
      <w:r>
        <w:rPr>
          <w:sz w:val="24"/>
        </w:rPr>
        <w:t>.      Not later than the scheduling deadline agreed to by Buyer and Seller, or in the absence thereof, in accordance with the practice of the Receiving Transmission Provider (the “Scheduling Deadline”), Seller shall notify Buyer (“Seller's Notification”) of the interface at which Seller will deliver the Product for the next delivery day (the “Designated Interface”). Seller shall have the right to choose any interface satisfying the requirements set forth in 1(a) or 1(b) above as the Designated Interface.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r>
      <w:r>
        <w:rPr>
          <w:sz w:val="24"/>
          <w:u w:val="single"/>
        </w:rPr>
        <w:t>Availability of Firm Transmission</w:t>
      </w:r>
      <w:r>
        <w:rPr>
          <w:sz w:val="24"/>
        </w:rPr>
        <w:t>.    Buyer must accept Seller’s Designated Interface unless daily, next-day firm transmission (“Firm Transmission”) within the Receiving Transmission Provider’s system is not available to Buyer.    In order to determine availability of Firm Transmission, the following definitions and procedures shall be recognized: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w:t>
        <w:tab/>
        <w:t>A “Timely Request for Transmission” shall mean a request for Firm Transmission made by Buyer in accordance with the controlling tariff procedures, which properly completed request shall be submitted to the Receiving Transmission Provider no later than 30 minutes after the time of delivery of Seller’s Notification, provided, however, if the Receiving Transmission Provider is not accepting requests for Firm Transmission at the time of Seller’s Notification, then such request by Buyer for Firm Transmission shall be made within 30 minutes of the time at which the Receiving Transmission Provider first accepts requests for Firm Transmission.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ii</w:t>
        <w:tab/>
        <w:t>If a Timely Request for Firm Transmission is made by Buyer and is accepted by the Receiving Transmission Provider and Buyer purchases such Firm Transmission, then the rights and obligations of Buyer and Seller shall be further defined by the provisions set forth in Paragraph 3A.</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iii.</w:t>
        <w:tab/>
        <w:t>If a Timely Request for Firm Transmission is made by Buyer but is rejected by the Receiving Transmission Provider on the basis that no Firm Transmission is available, then the rights and obligations of the Buyer and Seller shall be further defined by the provisions set forth in Paragraph 3B.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jc w:val="start"/>
        <w:rPr>
          <w:sz w:val="24"/>
        </w:rPr>
      </w:pPr>
      <w:r>
        <w:rPr>
          <w:sz w:val="24"/>
        </w:rPr>
        <w:tab/>
        <w:t>iv</w:t>
        <w:tab/>
        <w:t>If a Timely Request for Firm Transmission is not made by Buyer or if Buyer fails to timely deliver Buyer’s Rejection Notice to Seller or if Buyer chooses to utilize non-firm transmission, then the rights and obligations of the Buyer and Seller shall be further defined by the provisions set forth in Paragraph 3C.</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r>
      <w:r>
        <w:rPr>
          <w:sz w:val="24"/>
          <w:u w:val="single"/>
        </w:rPr>
        <w:t>Rights of Buyer and Seller Depending Upon Availability of Timely Request for Firm Transmission</w:t>
      </w:r>
      <w:r>
        <w:rPr>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2160"/>
        <w:jc w:val="start"/>
        <w:rPr>
          <w:sz w:val="24"/>
        </w:rPr>
      </w:pPr>
      <w:r>
        <w:rPr>
          <w:sz w:val="24"/>
        </w:rPr>
        <w:tab/>
        <w:t>A.</w:t>
        <w:tab/>
      </w:r>
      <w:r>
        <w:rPr>
          <w:sz w:val="24"/>
          <w:u w:val="single"/>
        </w:rPr>
        <w:t>Timely Requests for Firm Transmission made by Buyer, Accepted by the Receiving Transmission Provider and Purchased by Buyer</w:t>
      </w:r>
      <w:r>
        <w:rPr>
          <w:sz w:val="24"/>
        </w:rPr>
        <w:t>.    Seller shall deliver and Buyer shall receive the Product at the Designated Interface. If for any reason, including an event of Force Majeure or curtailment of Firm Transmission within the Receiving Transmission Provider’s transmission system, Seller is unable to deliver, or Buyer is unable to receive, the Product at the Designated Interface (or any subsequently selected Alternate Designated Interfaces), then Seller shall be obligated to designate an alternate interface (the “Alternate Designated Interface”) either (i) to the Receiving Transmission Provider’s transmission system border or (ii) an interface from a source of generation inside the Receiving Transmission Provider's control area, in either case, such that Seller’s obligation to deliver the Product to Buyer can be satisfied and Buyer can receive the Product and from which either firm or non-firm transmission within the Receiving Transmission Provider’s transmission system is available to Buyer.    If transmission within the Receiving Transmission Provider’s transmission system from the Alternate Designated Interface ceases for any reason, including an event of Force Majeure, to be available to Buyer, then Seller shall again be required to select an Alternate Designated Interface.    Seller shall be responsible for any additional transmission costs incurred by Buyer directly as a result of Seller’s failure to deliver the Product to the Designated Interface first selected by Seller.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2160"/>
        <w:jc w:val="start"/>
        <w:rPr>
          <w:sz w:val="24"/>
        </w:rPr>
      </w:pPr>
      <w:r>
        <w:rPr>
          <w:sz w:val="24"/>
        </w:rPr>
        <w:tab/>
        <w:t>B.</w:t>
        <w:tab/>
      </w:r>
      <w:r>
        <w:rPr>
          <w:sz w:val="24"/>
          <w:u w:val="single"/>
        </w:rPr>
        <w:t>Timely Request for Firm Transmission made by Buyer but Rejected by the Receiving Transmission Provider</w:t>
      </w:r>
      <w:r>
        <w:rPr>
          <w:sz w:val="24"/>
        </w:rPr>
        <w:t>.    If Buyer’s Timely Request for Firm Transmission is rejected by the Receiving Transmission Provider, then Buyer shall notify Seller within 15 minutes after receipt of the Receiving Transmission Provider’s notice of rejection (“Buyer's Rejection Notice”).    If Buyer properly notifies Seller of such unavailability of Firm Transmission, then (1) Seller shall be obligated to designate an Alternate Designated Interface and (2) thereafter the provisions in 3(A) shall apply. If Buyer fails to timely notify Seller of the unavailability of Firm Transmission, then Buyer shall be deemed to have assumed the risk of transmission, and the provisions in 3(C)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2160"/>
        <w:jc w:val="start"/>
        <w:rPr>
          <w:sz w:val="24"/>
        </w:rPr>
      </w:pPr>
      <w:r>
        <w:rPr>
          <w:sz w:val="24"/>
        </w:rPr>
        <w:tab/>
        <w:t>C.</w:t>
        <w:tab/>
      </w:r>
      <w:r>
        <w:rPr>
          <w:sz w:val="24"/>
          <w:u w:val="single"/>
        </w:rPr>
        <w:t>No Timely Request for Firm Transmission Made by Buyer, Buyer fails to timely send Buyer’s Rejection Notice or Buyer otherwise elects to utilize non-firm Transmission</w:t>
      </w:r>
      <w:r>
        <w:rPr>
          <w:sz w:val="24"/>
        </w:rPr>
        <w:t>.    If Buyer fails to make a Timely Request for Firm Transmission or Buyer fails to timely deliver Buyer’s Rejection Notice or Buyer otherwise elects to rely on non-firm transmission, then Buyer shall be deemed to have assumed the risk of transmission and shall have no right to request Seller to select an alternate interface.    If Seller’s delivery obligation is interrupted as a result of transmission purchased or otherwise utilized by Buyer, then such event shall not be deemed an event of Force Majeure and Seller shall nevertheless be deemed to have satisfied its delivery obligations to Buyer, and Buyer shall be deemed to have failed to receive the Product and shall be liable to Seller for damages pursuant to Article 4.</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r>
      <w:r>
        <w:rPr>
          <w:sz w:val="24"/>
          <w:u w:val="single"/>
        </w:rPr>
        <w:t>Force Majeure</w:t>
      </w:r>
      <w:r>
        <w:rPr>
          <w:sz w:val="24"/>
        </w:rPr>
        <w:t xml:space="preserve">.    Except as otherwise expressly set forth herein, an “Into” Product shall be subject to Force Majeure; provided, however, that it shall not be a Force Majeure if Buyer is unable for any reason to secure transmission to transmit the Product to a Delivery Point outside of the transmission system of the Receiving Transmission Provider.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r>
      <w:r>
        <w:rPr>
          <w:sz w:val="24"/>
          <w:u w:val="single"/>
        </w:rPr>
        <w:t>Seller’s Transmission</w:t>
      </w:r>
      <w:r>
        <w:rPr>
          <w:sz w:val="24"/>
        </w:rPr>
        <w:t>.    Except as otherwise expressly set forth herein, Seller shall be responsible for transmission service required to deliver the Product from the generating source to the Designated Interface or Alternate Designated Interface, as the case may be.    Seller is not responsible for transmission service within the Receiving Transmission Provider’s transmission system or for any costs associated with transmission thereafter.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r>
      <w:r>
        <w:rPr>
          <w:sz w:val="24"/>
          <w:u w:val="single"/>
        </w:rPr>
        <w:t>Buyer’s Transmission</w:t>
      </w:r>
      <w:r>
        <w:rPr>
          <w:sz w:val="24"/>
        </w:rPr>
        <w:t>.    Except as otherwise expressly set forth herein, Buyer shall be obligated to receive the Product at the Designated Interface or Alternate Designated Interface, as the case may be, and shall be responsible for transmission service from the Designated Interface and within the transmission system of the Receiving Transmission Provider and for any costs associated with transmission thereafter.    Buyer shall be responsible for any additional transmission costs incurred by Seller directly as a result of Buyer’s failure to receive the Product at the Designated Interface or Alternate Designated Interface, as the case may be.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“Native Load” means the demand imposed on an electric utility or an entity by the requirements of retail customers located within a franchised service territory that the electric utility or entity has statutory obligation to serve.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“Non-Firm” means, with respect to a Transaction, that delivery or receipt of the Product may be interrupted for any reason or for no reason, without liability on the part of    either Party.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“Option” means</w:t>
      </w:r>
      <w:r>
        <w:rPr>
          <w:b/>
          <w:sz w:val="24"/>
        </w:rPr>
        <w:t xml:space="preserve"> </w:t>
      </w:r>
      <w:r>
        <w:rPr>
          <w:sz w:val="24"/>
        </w:rPr>
        <w:t>the right but not the obligation to purchase or sell a Product as specified in a Transaction.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“Strike Price” means the price to be paid for the purchase of the Product pursuant to an Option.</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“Unit Firm” means, with respect to a Transaction, that the Product subject to the Transaction is intended to be supplied from a particular identified generation asset or assets.    A Party’s failure to deliver under a “Unit Firm” Transaction shall be excused and the non-delivering Party shall not be deemed in default or be liable for damages only to the extent that, and for the period during which the identified generation asset or assets is or are unavailable as a result of forced full or partial outages or a Force Majeure affecting the particular identified generation asset or assets.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9"/>
          <w:footerReference w:type="first" r:id="rId10"/>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SCHEDULE PP</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end="1440"/>
        <w:jc w:val="start"/>
        <w:rPr>
          <w:sz w:val="24"/>
        </w:rPr>
      </w:pPr>
      <w:r>
        <w:rPr>
          <w:b/>
          <w:sz w:val="24"/>
        </w:rPr>
        <w:t>(THIS SCHEDULE IS INCLUDED IF THE APPROPRIATE BOX ON THE COVER SHEET IS MARKED INDICATING A PARTY IS A PUBLIC POWER SYSTEM)</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w:t>
        <w:tab/>
        <w:t>The Parties agree to add the following definitions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"Act" means ______________________________.</w:t>
      </w:r>
      <w:r>
        <w:rPr>
          <w:rStyle w:val="FootnoteReference"/>
        </w:rPr>
        <w:footnoteReference w:id="4"/>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"Public Power System" means a public power authority, public utility district, joint action agency, or other similar political subdivision or public entity of the United States, one or more States or territories or any combination thereof.</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"Special Fund" means a fund or account of the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w:t>
        <w:tab/>
        <w:t>The following sentence shall be added to the end of the definition of "Force Majeure" in Article One.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If the Claiming Party is a Public Power System, Force Majeure does not include any action taken by the Public Power System in its governmental capacity.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w:t>
        <w:tab/>
        <w:t>The Parties agree to add the following representations and warranties to Section 10.2:</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Further and with respect to a Party that is a Public Power System, such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Public Power System are the duly elected or appointed incumbents in their positions and hold such positions in good standing in accordance with the Act and other applicable law, (iii) entry into and performance of this Master Agreement by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Public Power System' obligations hereunder and under each Transaction or (c) are to be made solely from a Special Fund, (vi) entry into and performance of this Master Agreement and each Transaction by the Public Power System will not adversely affect the exclusion from gross income for federal income tax purposes of interest on any obligation of Public Power System otherwise entitled to such exclusion, and (vii) obligations to make payments hereunder do not constitute any kind of indebtedness of Public Power System or create any kind of lien on, or security interest in, any property or revenues of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w:t>
        <w:tab/>
        <w:t>The Parties agree to add the following sections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3.4.    Public Power System's Deliveries.    On the Effective Date and as a condition to the obligations of the other Party under this Master Agreement, Public Power System shall provide the other Party hereto (i) certified copies of all ordinances, resolutions, public notices and other documents evidencing the necessary authorizations with respect to the execution, delivery and performance by Public Power System of this Master Agreement and (ii) an opinion of counsel for Public Power System, in form and substance reasonably satisfactory to the Other Party,    regarding the validity, binding effect and enforceability of this Master Agreement against Public Power System in respect of the Act and all other relevant constitutional organic or other governing documents and applicable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3.5.    No Immunity Claim. 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w:t>
        <w:tab/>
        <w:t>If the appropriate box is checked on the Cover Sheet, as an alternative to selecting one of the options under Section 8.3, the Parties agree to add the following section to Article Three:</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3.6.    Public Power System Security.    With respect to each Transaction, Public Power System shall either (i) have created and set aside a Special Fund or (ii) upon execution of this Master Agreement and prior to the commencement of each subsequent fiscal year of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Public Power System shall be treated as the Defaulting Party.    Public Power System shall have allocated to the Special Fund or its general funds a revenue base that is adequate to cover Public Power System's payment obligations hereunder throughout the entire Delivery Period.</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F.</w:t>
        <w:tab/>
        <w:t>If the appropriate box is checked on the Cover Sheet, the Parties agree to add the following section to Article Eight: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8.6.    Governmental Security. 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G.</w:t>
        <w:tab/>
        <w:t xml:space="preserve">The Parties agree to add the following sentence at the end of Section 10.6 </w:t>
        <w:noBreakHyphen/>
        <w:t xml:space="preserve"> Governing Law:</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440" w:end="1440"/>
        <w:jc w:val="start"/>
        <w:rPr>
          <w:sz w:val="24"/>
        </w:rPr>
      </w:pPr>
      <w:r>
        <w:rPr>
          <w:sz w:val="24"/>
        </w:rPr>
        <w:t>NOTWITHSTANDING THE FOREGOING, IN RESPECT OF THE APPLICABILITY OF THE ACT AS HEREIN PROVIDED, THE LAWS OF THE STATE OF _____________</w:t>
      </w:r>
      <w:r>
        <w:rPr>
          <w:rStyle w:val="FootnoteReference"/>
        </w:rPr>
        <w:footnoteReference w:id="5"/>
      </w:r>
      <w:r>
        <w:rPr>
          <w:sz w:val="24"/>
        </w:rPr>
        <w:t xml:space="preserve"> SHALL APPLY.</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footerReference w:type="default" r:id="rId11"/>
          <w:footerReference w:type="first" r:id="rId12"/>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CONFIRMATION LETTER</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This letter shall confirm the Transaction agreed to on ___________, ___ between __________________________ (“Party A”) and _____________________ (“Party B”) regarding the sale/purchase of the Product under the terms and conditions of the Agreement in place between the Parties and the additional terms and conditions as follows:</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Seller:</w:t>
        <w:tab/>
        <w:t xml:space="preserve"> </w:t>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Buyer:</w:t>
        <w:tab/>
        <w:t xml:space="preserve">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Product:    </w:t>
      </w:r>
      <w:r>
        <w:fldChar w:fldCharType="begin"/>
      </w:r>
      <w:r>
        <w:rPr>
          <w:sz w:val="24"/>
        </w:rPr>
        <w:instrText xml:space="preserve">ADVANCE \r 1</w:instrText>
      </w:r>
      <w:r>
        <w:rPr>
          <w:sz w:val="24"/>
        </w:rPr>
      </w:r>
      <w:r>
        <w:rPr>
          <w:sz w:val="24"/>
        </w:rPr>
        <w:fldChar w:fldCharType="separate"/>
      </w:r>
      <w:r>
        <w:rPr>
          <w:sz w:val="24"/>
        </w:rPr>
      </w:r>
      <w:r>
        <w:rPr>
          <w:sz w:val="24"/>
        </w:rPr>
      </w:r>
      <w:r>
        <w:rPr>
          <w:sz w:val="24"/>
        </w:rPr>
        <w:fldChar w:fldCharType="end"/>
      </w:r>
      <w:r>
        <w:rPr>
          <w:rFonts w:ascii="WP TypographicSymbols" w:hAnsi="WP TypographicSymbols"/>
          <w:sz w:val="24"/>
        </w:rPr>
        <w:t></w:t>
      </w:r>
      <w:r>
        <w:rPr>
          <w:sz w:val="24"/>
        </w:rPr>
        <w:t>    Energy                                                            AND</w:t>
        <w:tab/>
        <w:tab/>
        <w:t xml:space="preserve">          Firm (LD)    </w:t>
      </w:r>
      <w:r>
        <w:rPr>
          <w:rFonts w:ascii="Wingdings" w:hAnsi="Wingdings"/>
          <w:sz w:val="24"/>
        </w:rPr>
        <w:t></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Capacity (Specify: __________)</w:t>
        <w:tab/>
        <w:t xml:space="preserve">          Firm (No Force Majeure)    </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                                </w:t>
      </w:r>
      <w:r>
        <w:rPr>
          <w:rFonts w:ascii="WP TypographicSymbols" w:hAnsi="WP TypographicSymbols"/>
          <w:sz w:val="24"/>
        </w:rPr>
        <w:t></w:t>
      </w:r>
      <w:r>
        <w:rPr>
          <w:sz w:val="24"/>
        </w:rPr>
        <w:t xml:space="preserve"> </w:t>
      </w:r>
      <w:r>
        <w:rPr>
          <w:sz w:val="24"/>
        </w:rPr>
        <w:t xml:space="preserve">Ancillary Services (Specify: _________)      Firm (LD-System Reliability) </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start="5760"/>
        <w:jc w:val="both"/>
        <w:rPr>
          <w:sz w:val="24"/>
        </w:rPr>
      </w:pPr>
      <w:r>
        <w:rPr>
          <w:sz w:val="24"/>
        </w:rPr>
        <w:t xml:space="preserve">                </w:t>
      </w:r>
      <w:r>
        <w:rPr>
          <w:sz w:val="24"/>
        </w:rPr>
        <w:t>(Specify System and, if any, transmission                    contingency:____________)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1052" w:start="5760"/>
        <w:jc w:val="both"/>
        <w:rPr>
          <w:sz w:val="24"/>
        </w:rPr>
      </w:pPr>
      <w:r>
        <w:rPr>
          <w:sz w:val="24"/>
        </w:rPr>
        <w:t xml:space="preserve">                                </w:t>
      </w:r>
      <w:r>
        <w:rPr>
          <w:rFonts w:ascii="WP TypographicSymbols" w:hAnsi="WP TypographicSymbols"/>
          <w:sz w:val="24"/>
        </w:rPr>
        <w:t></w:t>
      </w:r>
      <w:r>
        <w:rPr>
          <w:sz w:val="24"/>
        </w:rPr>
        <w:t xml:space="preserve"> </w:t>
      </w:r>
      <w:r>
        <w:rPr>
          <w:sz w:val="24"/>
        </w:rPr>
        <w:t>Other</w:t>
        <w:tab/>
        <w:tab/>
        <w:tab/>
        <w:tab/>
        <w:tab/>
        <w:t xml:space="preserve">      </w:t>
        <w:tab/>
        <w:t xml:space="preserve">          Unit Firm    </w:t>
      </w:r>
      <w:r>
        <w:rPr>
          <w:rFonts w:ascii="WP TypographicSymbols" w:hAnsi="WP TypographicSymbols"/>
          <w:sz w:val="24"/>
        </w:rPr>
        <w:t></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ab/>
        <w:tab/>
        <w:tab/>
        <w:tab/>
        <w:tab/>
        <w:tab/>
        <w:tab/>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292"/>
        <w:jc w:val="both"/>
        <w:rPr>
          <w:sz w:val="24"/>
        </w:rPr>
      </w:pPr>
      <w:r>
        <w:rPr>
          <w:sz w:val="24"/>
        </w:rPr>
        <w:t xml:space="preserve">Other Products:    </w:t>
      </w:r>
      <w:r>
        <w:rPr>
          <w:sz w:val="24"/>
          <w:u w:val="single"/>
        </w:rPr>
        <w:t xml:space="preserve">                                                                                                                                                                        </w:t>
      </w:r>
      <w:r>
        <w:rPr>
          <w:sz w:val="24"/>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Contract Quantity: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Delivery Point: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u w:val="single"/>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Into: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Control Area:</w:t>
      </w:r>
      <w:r>
        <w:rPr>
          <w:sz w:val="24"/>
          <w:u w:val="single"/>
        </w:rPr>
        <w:tab/>
        <w:tab/>
        <w:tab/>
        <w:tab/>
        <w:tab/>
        <w:tab/>
        <w:tab/>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u w:val="single"/>
        </w:rPr>
      </w:pPr>
      <w:r>
        <w:rPr>
          <w:sz w:val="24"/>
        </w:rPr>
        <w:t xml:space="preserve">Contract Price: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Energy Price:</w:t>
      </w:r>
      <w:r>
        <w:rPr>
          <w:sz w:val="24"/>
          <w:u w:val="single"/>
        </w:rPr>
        <w:t xml:space="preserve">                                                                                                                                                      </w:t>
      </w:r>
      <w:r>
        <w:rPr>
          <w:sz w:val="24"/>
        </w:rPr>
        <w:tab/>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Demand Charges:</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Transmission Charges:</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ab/>
        <w:t xml:space="preserve">Other Charges: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Delivery Period:</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Special Conditions: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 xml:space="preserve">Scheduling:                                  </w:t>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Buyer:</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Option Seller:</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Type of Option:</w:t>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Strike Price:</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Premium:</w:t>
        <w:tab/>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t>Exercise Period:</w:t>
        <w:tab/>
      </w:r>
      <w:r>
        <w:rPr>
          <w:sz w:val="24"/>
          <w:u w:val="single"/>
        </w:rPr>
        <w:t xml:space="preserve">                                                                                                                                                      </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firstLine="72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sz w:val="24"/>
        </w:rPr>
        <w:t>[Party A]</w:t>
        <w:tab/>
        <w:tab/>
        <w:tab/>
        <w:tab/>
        <w:tab/>
        <w:tab/>
        <w:t>[Party B]</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sz w:val="24"/>
        </w:rPr>
        <w:t>__________________________________</w:t>
        <w:tab/>
        <w:t>____________________________________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Name:</w:t>
      </w:r>
      <w:r>
        <w:rPr>
          <w:sz w:val="24"/>
        </w:rPr>
        <w:t>_____________________________</w:t>
        <w:tab/>
      </w:r>
      <w:r>
        <w:rPr/>
        <w:t>Name:</w:t>
      </w:r>
      <w:r>
        <w:rPr>
          <w:sz w:val="24"/>
        </w:rPr>
        <w:t>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Title</w:t>
      </w:r>
      <w:r>
        <w:rPr>
          <w:sz w:val="24"/>
        </w:rPr>
        <w:t>:______________________________</w:t>
        <w:tab/>
      </w:r>
      <w:r>
        <w:rPr/>
        <w:t>Title</w:t>
      </w:r>
      <w:r>
        <w:rPr>
          <w:sz w:val="24"/>
        </w:rPr>
        <w:t>: ________________________________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Phone No.:</w:t>
      </w:r>
      <w:r>
        <w:rPr>
          <w:sz w:val="24"/>
        </w:rPr>
        <w:t xml:space="preserve"> _________________________</w:t>
        <w:tab/>
      </w:r>
      <w:r>
        <w:rPr/>
        <w:t>Phone No.:</w:t>
      </w:r>
      <w:r>
        <w:rPr>
          <w:sz w:val="24"/>
        </w:rPr>
        <w:t>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040" w:start="5040"/>
        <w:jc w:val="both"/>
        <w:rPr>
          <w:sz w:val="24"/>
        </w:rPr>
      </w:pPr>
      <w:r>
        <w:rPr/>
        <w:t>Facsimile:</w:t>
      </w:r>
      <w:r>
        <w:rPr>
          <w:sz w:val="24"/>
        </w:rPr>
        <w:t>__________________________</w:t>
        <w:tab/>
      </w:r>
      <w:r>
        <w:rPr/>
        <w:t>Facsimile:</w:t>
      </w:r>
      <w:r>
        <w:rPr>
          <w:sz w:val="24"/>
        </w:rPr>
        <w:t>_____________________________</w:t>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widowControl/>
        <w:tabs>
          <w:tab w:val="left" w:pos="-432" w:leader="none"/>
          <w:tab w:val="left" w:pos="0" w:leader="none"/>
          <w:tab w:val="left" w:pos="720" w:leader="none"/>
          <w:tab w:val="left" w:pos="144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16"/>
        </w:rPr>
        <w:fldChar w:fldCharType="begin"/>
      </w:r>
      <w:r>
        <w:rPr>
          <w:sz w:val="16"/>
        </w:rPr>
        <w:instrText xml:space="preserve"> FILENAME </w:instrText>
      </w:r>
      <w:r>
        <w:rPr>
          <w:sz w:val="16"/>
        </w:rPr>
        <w:fldChar w:fldCharType="separate"/>
      </w:r>
      <w:r>
        <w:rPr>
          <w:sz w:val="16"/>
        </w:rPr>
        <w:t>oct_draft.rtf</w:t>
      </w:r>
      <w:r>
        <w:rPr>
          <w:sz w:val="16"/>
        </w:rPr>
        <w:fldChar w:fldCharType="end"/>
      </w:r>
    </w:p>
    <w:sectPr>
      <w:footerReference w:type="default" r:id="rId13"/>
      <w:footerReference w:type="first" r:id="rId14"/>
      <w:footnotePr>
        <w:numFmt w:val="decimal"/>
        <w:numRestart w:val="eachSect"/>
      </w:footnotePr>
      <w:type w:val="nextPage"/>
      <w:pgSz w:w="12240" w:h="15840"/>
      <w:pgMar w:left="1440" w:right="1440" w:gutter="0" w:header="0" w:top="1440" w:footer="1056"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P TypographicSymbols">
    <w:charset w:val="01" w:characterSet="utf-8"/>
    <w:family w:val="roman"/>
    <w:pitch w:val="variable"/>
  </w:font>
  <w:font w:name="Wingding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oct_draft.rtf</w:t>
    </w:r>
    <w:r>
      <w:rPr>
        <w:sz w:val="24"/>
        <w:lang w:val="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oct_draft.rtf</w:t>
    </w:r>
    <w:r>
      <w:rPr>
        <w:sz w:val="24"/>
        <w:lang w:val="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oct_draft.rtf</w:t>
    </w:r>
    <w:r>
      <w:rPr>
        <w:sz w:val="24"/>
        <w:lang w:val="en-US"/>
      </w:rPr>
      <w:fldChar w:fldCharType="end"/>
    </w:r>
    <w:r>
      <mc:AlternateContent>
        <mc:Choice Requires="wps">
          <w:drawing>
            <wp:anchor behindDoc="0" distT="0" distB="0" distL="0" distR="0" simplePos="0" locked="0" layoutInCell="0" allowOverlap="1" relativeHeight="2">
              <wp:simplePos x="0" y="0"/>
              <wp:positionH relativeFrom="page">
                <wp:posOffset>3634740</wp:posOffset>
              </wp:positionH>
              <wp:positionV relativeFrom="page">
                <wp:posOffset>9601835</wp:posOffset>
              </wp:positionV>
              <wp:extent cx="365760" cy="146685"/>
              <wp:effectExtent l="0" t="0" r="0" b="0"/>
              <wp:wrapTopAndBottom/>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86.2pt;mso-position-horizontal-relative:page">
              <v:fill opacity="0f"/>
              <v:textbox inset="0in,0in,0in,0in">
                <w:txbxContent>
                  <w:p>
                    <w:pPr>
                      <w:pStyle w:val="Footer"/>
                      <w:pBdr/>
                      <w:bidi w:val="0"/>
                      <w:jc w:val="end"/>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2</w:t>
                    </w:r>
                    <w:r>
                      <w:rPr>
                        <w:rStyle w:val="PageNumber"/>
                        <w:lang w:val="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oct_draft.rtf</w:t>
    </w:r>
    <w:r>
      <w:rPr>
        <w:sz w:val="24"/>
        <w:lang w:val="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oct_draft.rtf</w:t>
    </w:r>
    <w:r>
      <w:rPr>
        <w:sz w:val="24"/>
        <w:lang w:val="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oct_draft.rtf</w:t>
    </w:r>
    <w:r>
      <w:rPr>
        <w:sz w:val="24"/>
        <w:lang w:val="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691"/>
      <w:jc w:val="start"/>
      <w:rPr>
        <w:sz w:val="24"/>
      </w:rPr>
    </w:pPr>
    <w:r>
      <w:rPr>
        <w:sz w:val="24"/>
        <w:lang w:val="en-US"/>
      </w:rPr>
      <w:fldChar w:fldCharType="begin"/>
    </w:r>
    <w:r>
      <w:rPr>
        <w:sz w:val="24"/>
        <w:lang w:val="en-US"/>
      </w:rPr>
      <w:instrText xml:space="preserve"> FILENAME </w:instrText>
    </w:r>
    <w:r>
      <w:rPr>
        <w:sz w:val="24"/>
        <w:lang w:val="en-US"/>
      </w:rPr>
      <w:fldChar w:fldCharType="separate"/>
    </w:r>
    <w:r>
      <w:rPr>
        <w:sz w:val="24"/>
        <w:lang w:val="en-US"/>
      </w:rPr>
      <w:t>oct_draft.rtf</w:t>
    </w:r>
    <w:r>
      <w:rPr>
        <w:sz w:val="24"/>
        <w:lang w:val="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start"/>
        <w:rPr/>
      </w:pPr>
      <w:r>
        <w:rPr>
          <w:rStyle w:val="FootnoteCharacters"/>
        </w:rPr>
        <w:footnoteRef/>
      </w:r>
      <w:r>
        <w:rPr>
          <w:sz w:val="24"/>
        </w:rPr>
        <w:t>Cite the state enabling and other relevant statutes applicable to Governmental Entity.</w:t>
      </w:r>
    </w:p>
  </w:footnote>
  <w:footnote w:id="3">
    <w:p>
      <w:pPr>
        <w:pStyle w:val="FootnoteText"/>
        <w:bidi w:val="0"/>
        <w:jc w:val="start"/>
        <w:rPr/>
      </w:pPr>
      <w:r>
        <w:rPr>
          <w:rStyle w:val="FootnoteCharacters"/>
        </w:rPr>
        <w:footnoteRef/>
      </w:r>
      <w:r>
        <w:rPr>
          <w:sz w:val="24"/>
        </w:rPr>
        <w:t>Insert relevant state for Governmental Entity.</w:t>
      </w:r>
    </w:p>
  </w:footnote>
  <w:footnote w:id="4">
    <w:p>
      <w:pPr>
        <w:pStyle w:val="FootnoteText"/>
        <w:bidi w:val="0"/>
        <w:jc w:val="start"/>
        <w:rPr/>
      </w:pPr>
      <w:r>
        <w:rPr>
          <w:rStyle w:val="FootnoteCharacters"/>
        </w:rPr>
        <w:footnoteRef/>
      </w:r>
      <w:r>
        <w:rPr>
          <w:rStyle w:val="FootnoteRef"/>
          <w:sz w:val="24"/>
          <w:vertAlign w:val="superscript"/>
        </w:rPr>
        <w:t xml:space="preserve"> </w:t>
      </w:r>
      <w:r>
        <w:rPr>
          <w:sz w:val="24"/>
        </w:rPr>
        <w:t>Cite the state enabling and other relevant statutes applicable to Public Power System.</w:t>
      </w:r>
    </w:p>
  </w:footnote>
  <w:footnote w:id="5">
    <w:p>
      <w:pPr>
        <w:pStyle w:val="FootnoteText"/>
        <w:bidi w:val="0"/>
        <w:jc w:val="start"/>
        <w:rPr/>
      </w:pPr>
      <w:r>
        <w:rPr>
          <w:rStyle w:val="FootnoteCharacters"/>
        </w:rPr>
        <w:footnoteRef/>
      </w:r>
      <w:r>
        <w:rPr>
          <w:rStyle w:val="FootnoteRef"/>
          <w:sz w:val="24"/>
          <w:vertAlign w:val="superscript"/>
        </w:rPr>
        <w:t xml:space="preserve"> </w:t>
      </w:r>
      <w:r>
        <w:rPr>
          <w:sz w:val="24"/>
        </w:rPr>
        <w:t>Insert relevant state for Public Power System.</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numRestart w:val="eachSect"/>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widowControl w:val="false"/>
      <w:jc w:val="center"/>
    </w:pPr>
    <w:rPr/>
  </w:style>
  <w:style w:type="paragraph" w:styleId="Heading2">
    <w:name w:val="heading 2"/>
    <w:basedOn w:val="Normal"/>
    <w:next w:val="Normal"/>
    <w:qFormat/>
    <w:pPr>
      <w:widowControl w:val="false"/>
      <w:jc w:val="center"/>
    </w:pPr>
    <w:rPr>
      <w:sz w:val="22"/>
    </w:rPr>
  </w:style>
  <w:style w:type="paragraph" w:styleId="Heading3">
    <w:name w:val="heading 3"/>
    <w:basedOn w:val="Normal"/>
    <w:next w:val="Normal"/>
    <w:qFormat/>
    <w:pPr>
      <w:widowControl w:val="false"/>
      <w:tabs>
        <w:tab w:val="clear" w:pos="720"/>
        <w:tab w:val="left" w:pos="0" w:leader="none"/>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style>
  <w:style w:type="paragraph" w:styleId="Heading4">
    <w:name w:val="heading 4"/>
    <w:basedOn w:val="Normal"/>
    <w:next w:val="Normal"/>
    <w:qFormat/>
    <w:pPr>
      <w:widowControl w:val="false"/>
      <w:jc w:val="center"/>
    </w:pPr>
    <w:rPr/>
  </w:style>
  <w:style w:type="paragraph" w:styleId="Heading5">
    <w:name w:val="heading 5"/>
    <w:basedOn w:val="Normal"/>
    <w:next w:val="Normal"/>
    <w:qFormat/>
    <w:pPr>
      <w:widowControl w:val="false"/>
      <w:jc w:val="both"/>
    </w:pPr>
    <w:rPr/>
  </w:style>
  <w:style w:type="character" w:styleId="DefaultParagraphFont">
    <w:name w:val="Default Paragraph Font"/>
    <w:qFormat/>
    <w:rPr/>
  </w:style>
  <w:style w:type="character" w:styleId="FootnoteRef">
    <w:name w:val="Footnote Ref"/>
    <w:qFormat/>
    <w:rPr/>
  </w:style>
  <w:style w:type="character" w:styleId="DefaultPara">
    <w:name w:val="Default Para"/>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jc w:val="center"/>
    </w:pPr>
    <w:rPr>
      <w:sz w:val="36"/>
    </w:rPr>
  </w:style>
  <w:style w:type="paragraph" w:styleId="BodyText2">
    <w:name w:val="Body Text 2"/>
    <w:basedOn w:val="Normal"/>
    <w:qFormat/>
    <w:pPr>
      <w:widowControl w:val="false"/>
      <w:jc w:val="both"/>
    </w:pPr>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start="720"/>
      <w:jc w:val="both"/>
    </w:pPr>
    <w:rPr>
      <w:rFonts w:ascii="Times New Roman" w:hAnsi="Times New Roman" w:eastAsia="Courier New" w:cs="Symbol"/>
      <w:color w:val="auto"/>
      <w:kern w:val="2"/>
      <w:sz w:val="24"/>
      <w:szCs w:val="24"/>
      <w:lang w:val="en-US" w:eastAsia="zh-CN" w:bidi="hi-IN"/>
    </w:rPr>
  </w:style>
  <w:style w:type="paragraph" w:styleId="1">
    <w:name w:val="1"/>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BodyTextIn">
    <w:name w:val="Body Text In"/>
    <w:qFormat/>
    <w:pPr>
      <w:widowControl w:val="false"/>
      <w:bidi w:val="0"/>
      <w:jc w:val="both"/>
    </w:pPr>
    <w:rPr>
      <w:rFonts w:ascii="Times New Roman" w:hAnsi="Times New Roman" w:eastAsia="Courier New" w:cs="Symbol"/>
      <w:color w:val="auto"/>
      <w:kern w:val="2"/>
      <w:sz w:val="24"/>
      <w:szCs w:val="24"/>
      <w:lang w:val="en-US" w:eastAsia="zh-CN" w:bidi="hi-IN"/>
    </w:rPr>
  </w:style>
  <w:style w:type="paragraph" w:styleId="Justified">
    <w:name w:val="Justified"/>
    <w:qFormat/>
    <w:pPr>
      <w:widowControl w:val="false"/>
      <w:bidi w:val="0"/>
    </w:pPr>
    <w:rPr>
      <w:rFonts w:ascii="Times New Roman" w:hAnsi="Times New Roman" w:eastAsia="Courier New" w:cs="Symbol"/>
      <w:color w:val="auto"/>
      <w:kern w:val="2"/>
      <w:sz w:val="24"/>
      <w:szCs w:val="24"/>
      <w:lang w:val="en-US" w:eastAsia="zh-CN" w:bidi="hi-IN"/>
    </w:rPr>
  </w:style>
  <w:style w:type="paragraph" w:styleId="Article1aL4">
    <w:name w:val="Article1a_L4"/>
    <w:qFormat/>
    <w:pPr>
      <w:widowControl w:val="false"/>
      <w:tabs>
        <w:tab w:val="clear" w:pos="720"/>
        <w:tab w:val="left" w:pos="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ind w:end="720"/>
    </w:pPr>
    <w:rPr>
      <w:rFonts w:ascii="Times New Roman" w:hAnsi="Times New Roman" w:eastAsia="Courier New" w:cs="Symbol"/>
      <w:color w:val="auto"/>
      <w:kern w:val="2"/>
      <w:sz w:val="24"/>
      <w:szCs w:val="24"/>
      <w:lang w:val="en-US" w:eastAsia="zh-CN" w:bidi="hi-IN"/>
    </w:rPr>
  </w:style>
  <w:style w:type="paragraph" w:styleId="FootnoteTe">
    <w:name w:val="Footnote Te"/>
    <w:qFormat/>
    <w:pPr>
      <w:widowControl w:val="false"/>
      <w:bidi w:val="0"/>
    </w:pPr>
    <w:rPr>
      <w:rFonts w:ascii="Times New Roman" w:hAnsi="Times New Roman" w:eastAsia="Courier New" w:cs="Symbol"/>
      <w:color w:val="auto"/>
      <w:kern w:val="2"/>
      <w:sz w:val="24"/>
      <w:szCs w:val="24"/>
      <w:lang w:val="en-US" w:eastAsia="zh-CN" w:bidi="hi-IN"/>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FrameContents">
    <w:name w:val="Frame Contents"/>
    <w:basedOn w:val="Normal"/>
    <w:qFormat/>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notes" Target="footnotes.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13797</Words>
  <Characters>96582</Characters>
  <CharactersWithSpaces>78646</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1999-10-11T11:53:00Z</dcterms:created>
  <dc:creator>Andrew S. Katz</dc:creator>
  <dc:description>MASTER POWER PURCHASE</dc:description>
  <dc:language>en-US</dc:language>
  <cp:lastModifiedBy/>
  <dcterms:modified xsi:type="dcterms:W3CDTF">1999-10-11T11:53:00Z</dcterms:modified>
  <cp:revision>2</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Andrew S. Katz</vt:lpwstr>
  </property>
</Properties>
</file>