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8" w:space="1" w:color="000000"/>
        </w:pBdr>
        <w:bidi w:val="0"/>
        <w:jc w:val="center"/>
        <w:rPr>
          <w:rFonts w:ascii="Times New Roman" w:hAnsi="Times New Roman"/>
          <w:b/>
          <w:sz w:val="40"/>
        </w:rPr>
      </w:pPr>
      <w:r>
        <w:rPr>
          <w:rFonts w:ascii="Times New Roman" w:hAnsi="Times New Roman"/>
          <w:b/>
          <w:sz w:val="36"/>
        </w:rPr>
        <w:t>ENRON GPG ENVIRONMENTAL NOTICE</w:t>
      </w:r>
    </w:p>
    <w:p>
      <w:pPr>
        <w:pStyle w:val="Normal"/>
        <w:bidi w:val="0"/>
        <w:jc w:val="both"/>
        <w:rPr>
          <w:rFonts w:ascii="Times New Roman" w:hAnsi="Times New Roman"/>
          <w:sz w:val="32"/>
        </w:rPr>
      </w:pPr>
      <w:r>
        <w:rPr>
          <w:rFonts w:ascii="Times New Roman" w:hAnsi="Times New Roman"/>
          <w:b/>
          <w:sz w:val="32"/>
        </w:rPr>
        <w:t xml:space="preserve">Subject:    </w:t>
      </w:r>
      <w:r>
        <w:rPr>
          <w:rFonts w:ascii="Times New Roman" w:hAnsi="Times New Roman"/>
          <w:sz w:val="32"/>
        </w:rPr>
        <w:t xml:space="preserve">Oil and Gas Production Maximum Achievable Control Technology </w:t>
      </w:r>
    </w:p>
    <w:p>
      <w:pPr>
        <w:pStyle w:val="Normal"/>
        <w:bidi w:val="0"/>
        <w:jc w:val="both"/>
        <w:rPr>
          <w:rFonts w:ascii="Times New Roman" w:hAnsi="Times New Roman"/>
          <w:sz w:val="32"/>
        </w:rPr>
      </w:pPr>
      <w:r>
        <w:rPr>
          <w:rFonts w:ascii="Times New Roman" w:hAnsi="Times New Roman"/>
          <w:b/>
          <w:sz w:val="32"/>
        </w:rPr>
        <w:t xml:space="preserve">Today’s Date: </w:t>
      </w:r>
      <w:r>
        <w:rPr>
          <w:rFonts w:ascii="Times New Roman" w:hAnsi="Times New Roman"/>
          <w:sz w:val="32"/>
        </w:rPr>
        <w:t>August 9, 1999</w:t>
      </w:r>
    </w:p>
    <w:p>
      <w:pPr>
        <w:pStyle w:val="Normal"/>
        <w:bidi w:val="0"/>
        <w:jc w:val="both"/>
        <w:rPr>
          <w:rFonts w:ascii="Times New Roman" w:hAnsi="Times New Roman"/>
          <w:sz w:val="32"/>
        </w:rPr>
      </w:pPr>
      <w:r>
        <w:rPr>
          <w:rFonts w:ascii="Times New Roman" w:hAnsi="Times New Roman"/>
          <w:b/>
          <w:sz w:val="32"/>
        </w:rPr>
        <w:t xml:space="preserve">Reference:    </w:t>
      </w:r>
      <w:r>
        <w:rPr>
          <w:rFonts w:ascii="Times New Roman" w:hAnsi="Times New Roman"/>
          <w:sz w:val="32"/>
        </w:rPr>
        <w:t>June 17, 1999    (64 Fed. Reg. 32610-32664)</w:t>
      </w:r>
    </w:p>
    <w:p>
      <w:pPr>
        <w:pStyle w:val="Normal"/>
        <w:pBdr>
          <w:bottom w:val="single" w:sz="24" w:space="1" w:color="000000"/>
        </w:pBdr>
        <w:bidi w:val="0"/>
        <w:jc w:val="both"/>
        <w:rPr>
          <w:rFonts w:ascii="Times New Roman" w:hAnsi="Times New Roman"/>
          <w:sz w:val="32"/>
        </w:rPr>
      </w:pPr>
      <w:r>
        <w:rPr>
          <w:rFonts w:ascii="Times New Roman" w:hAnsi="Times New Roman"/>
          <w:b/>
          <w:sz w:val="32"/>
        </w:rPr>
        <w:t xml:space="preserve">Status:    </w:t>
      </w:r>
      <w:r>
        <w:rPr>
          <w:rFonts w:ascii="Times New Roman" w:hAnsi="Times New Roman"/>
          <w:sz w:val="32"/>
        </w:rPr>
        <w:t>Final Regulations</w:t>
        <w:tab/>
        <w:tab/>
      </w:r>
    </w:p>
    <w:p>
      <w:pPr>
        <w:pStyle w:val="Normal"/>
        <w:bidi w:val="0"/>
        <w:jc w:val="both"/>
        <w:rPr>
          <w:rFonts w:ascii="Times New Roman" w:hAnsi="Times New Roman"/>
          <w:b/>
          <w:sz w:val="16"/>
        </w:rPr>
      </w:pPr>
      <w:r>
        <w:rPr>
          <w:rFonts w:ascii="Times New Roman" w:hAnsi="Times New Roman"/>
          <w:b/>
          <w:sz w:val="16"/>
        </w:rPr>
      </w:r>
    </w:p>
    <w:p>
      <w:pPr>
        <w:pStyle w:val="Normal"/>
        <w:bidi w:val="0"/>
        <w:spacing w:before="120" w:after="0"/>
        <w:jc w:val="both"/>
        <w:rPr>
          <w:rFonts w:ascii="Times New Roman" w:hAnsi="Times New Roman"/>
          <w:sz w:val="24"/>
        </w:rPr>
      </w:pPr>
      <w:r>
        <w:rPr>
          <w:rFonts w:ascii="Times New Roman" w:hAnsi="Times New Roman"/>
          <w:b/>
          <w:sz w:val="24"/>
          <w:u w:val="single"/>
        </w:rPr>
        <w:t>General:</w:t>
      </w:r>
      <w:r>
        <w:rPr>
          <w:rFonts w:ascii="Times New Roman" w:hAnsi="Times New Roman"/>
          <w:b/>
          <w:sz w:val="36"/>
        </w:rPr>
        <w:t xml:space="preserve"> </w:t>
      </w:r>
      <w:r>
        <w:rPr>
          <w:rFonts w:ascii="Times New Roman" w:hAnsi="Times New Roman"/>
          <w:sz w:val="24"/>
        </w:rPr>
        <w:t xml:space="preserve">The </w:t>
      </w:r>
      <w:r>
        <w:rPr>
          <w:rFonts w:ascii="Times New Roman" w:hAnsi="Times New Roman"/>
          <w:b/>
          <w:sz w:val="24"/>
        </w:rPr>
        <w:t>Oil and Gas Production Maximum Achievable Control Technology (MACT) Regulation</w:t>
      </w:r>
      <w:r>
        <w:rPr>
          <w:rFonts w:ascii="Times New Roman" w:hAnsi="Times New Roman"/>
          <w:sz w:val="24"/>
        </w:rPr>
        <w:t xml:space="preserve"> governs Hazardous Pollutant (HAP) emissions such as benzene, toluene, ethyl-benzene and xylene (BTEX) from Major Sources with </w:t>
      </w:r>
      <w:r>
        <w:rPr>
          <w:rFonts w:ascii="Times New Roman" w:hAnsi="Times New Roman"/>
          <w:b/>
          <w:sz w:val="24"/>
        </w:rPr>
        <w:t xml:space="preserve">glycol dehydrators, condensate storage tanks </w:t>
      </w:r>
      <w:r>
        <w:rPr>
          <w:rFonts w:ascii="Times New Roman" w:hAnsi="Times New Roman"/>
          <w:sz w:val="24"/>
        </w:rPr>
        <w:t>with throughput greater than 500 barrels per day</w:t>
      </w:r>
      <w:r>
        <w:rPr>
          <w:rFonts w:ascii="Times New Roman" w:hAnsi="Times New Roman"/>
          <w:b/>
          <w:sz w:val="24"/>
        </w:rPr>
        <w:t xml:space="preserve"> </w:t>
      </w:r>
      <w:r>
        <w:rPr>
          <w:rFonts w:ascii="Times New Roman" w:hAnsi="Times New Roman"/>
          <w:sz w:val="24"/>
        </w:rPr>
        <w:t xml:space="preserve">and fugitive emission sources (valves, flanges etc.) at </w:t>
      </w:r>
      <w:r>
        <w:rPr>
          <w:rFonts w:ascii="Times New Roman" w:hAnsi="Times New Roman"/>
          <w:b/>
          <w:sz w:val="24"/>
        </w:rPr>
        <w:t>gas processing plants</w:t>
      </w:r>
      <w:r>
        <w:rPr>
          <w:rFonts w:ascii="Times New Roman" w:hAnsi="Times New Roman"/>
          <w:sz w:val="24"/>
        </w:rPr>
        <w:t xml:space="preserve">. This regulation governs these emission sources in the </w:t>
      </w:r>
      <w:r>
        <w:rPr>
          <w:rFonts w:ascii="Times New Roman" w:hAnsi="Times New Roman"/>
          <w:b/>
          <w:sz w:val="24"/>
        </w:rPr>
        <w:t>gathering and pipeline system</w:t>
      </w:r>
      <w:r>
        <w:rPr>
          <w:rFonts w:ascii="Times New Roman" w:hAnsi="Times New Roman"/>
          <w:sz w:val="24"/>
        </w:rPr>
        <w:t xml:space="preserve"> </w:t>
      </w:r>
      <w:r>
        <w:rPr>
          <w:rFonts w:ascii="Times New Roman" w:hAnsi="Times New Roman"/>
          <w:b/>
          <w:sz w:val="24"/>
        </w:rPr>
        <w:t>up to and including sources at gas processing plants</w:t>
      </w:r>
      <w:r>
        <w:rPr>
          <w:rFonts w:ascii="Times New Roman" w:hAnsi="Times New Roman"/>
          <w:sz w:val="24"/>
        </w:rPr>
        <w:t>. A companion notice has been prepared for another regulation governing dehydrators in the transmission system downstream of gas plants and at underground storage facilities.</w:t>
      </w:r>
    </w:p>
    <w:p>
      <w:pPr>
        <w:pStyle w:val="Normal"/>
        <w:bidi w:val="0"/>
        <w:spacing w:before="120" w:after="0"/>
        <w:jc w:val="both"/>
        <w:rPr>
          <w:rFonts w:ascii="Times New Roman" w:hAnsi="Times New Roman"/>
          <w:sz w:val="24"/>
        </w:rPr>
      </w:pPr>
      <w:r>
        <w:rPr>
          <w:rFonts w:ascii="Times New Roman" w:hAnsi="Times New Roman"/>
          <w:sz w:val="24"/>
        </w:rPr>
        <w:t xml:space="preserve">New sources (constructed on or after February 6, 1998) are regulated immediately. </w:t>
      </w:r>
      <w:r>
        <w:rPr>
          <w:rFonts w:ascii="Times New Roman" w:hAnsi="Times New Roman"/>
          <w:b/>
          <w:sz w:val="24"/>
        </w:rPr>
        <w:t>Existing sources (constructed before February 6, 1998) have until June 17, 2002 to comply with the requirements.</w:t>
      </w:r>
    </w:p>
    <w:p>
      <w:pPr>
        <w:pStyle w:val="Normal"/>
        <w:bidi w:val="0"/>
        <w:spacing w:before="120" w:after="0"/>
        <w:jc w:val="both"/>
        <w:rPr>
          <w:rFonts w:ascii="Times New Roman" w:hAnsi="Times New Roman"/>
          <w:sz w:val="24"/>
        </w:rPr>
      </w:pPr>
      <w:r>
        <w:rPr>
          <w:rFonts w:ascii="Times New Roman" w:hAnsi="Times New Roman"/>
          <w:b/>
          <w:sz w:val="24"/>
        </w:rPr>
        <w:t>Only Major Sources</w:t>
      </w:r>
      <w:r>
        <w:rPr>
          <w:rFonts w:ascii="Times New Roman" w:hAnsi="Times New Roman"/>
          <w:sz w:val="24"/>
        </w:rPr>
        <w:t xml:space="preserve"> for HAPs (locations that potentially emit 10 tons/year of one HAP or 25 tons/year of all HAPs) </w:t>
      </w:r>
      <w:r>
        <w:rPr>
          <w:rFonts w:ascii="Times New Roman" w:hAnsi="Times New Roman"/>
          <w:b/>
          <w:sz w:val="24"/>
        </w:rPr>
        <w:t>are regulated</w:t>
      </w:r>
      <w:r>
        <w:rPr>
          <w:rFonts w:ascii="Times New Roman" w:hAnsi="Times New Roman"/>
          <w:sz w:val="24"/>
        </w:rPr>
        <w:t xml:space="preserve">. When determining whether a location is a Major Source you must include all HAP emission sources including formaldehyde from engines. When calculating glycol dehydrator potential emissions you are required to use 120% of gas throughputs based on the highest annual value in the last 5 years if throughput is increasing and 120% of average gas throughputs over the last three years if throughput is declining. Locations, except gas plants, with total throughputs less than 0.65 MMSCF/day are deemed to be Area (Non-Major) Sources. EPA plans on </w:t>
      </w:r>
      <w:r>
        <w:rPr>
          <w:rFonts w:ascii="Times New Roman" w:hAnsi="Times New Roman"/>
          <w:b/>
          <w:sz w:val="24"/>
        </w:rPr>
        <w:t>regulating Area Source</w:t>
      </w:r>
      <w:r>
        <w:rPr>
          <w:rFonts w:ascii="Times New Roman" w:hAnsi="Times New Roman"/>
          <w:sz w:val="24"/>
        </w:rPr>
        <w:t xml:space="preserve"> glycol dehydrators in approximately </w:t>
      </w:r>
      <w:r>
        <w:rPr>
          <w:rFonts w:ascii="Times New Roman" w:hAnsi="Times New Roman"/>
          <w:b/>
          <w:sz w:val="24"/>
        </w:rPr>
        <w:t>2004</w:t>
      </w:r>
      <w:r>
        <w:rPr>
          <w:rFonts w:ascii="Times New Roman" w:hAnsi="Times New Roman"/>
          <w:sz w:val="24"/>
        </w:rPr>
        <w:t>.</w:t>
      </w:r>
    </w:p>
    <w:p>
      <w:pPr>
        <w:pStyle w:val="Normal"/>
        <w:bidi w:val="0"/>
        <w:spacing w:before="120" w:after="0"/>
        <w:jc w:val="both"/>
        <w:rPr>
          <w:rFonts w:ascii="Times New Roman" w:hAnsi="Times New Roman"/>
          <w:sz w:val="24"/>
        </w:rPr>
      </w:pPr>
      <w:r>
        <w:rPr>
          <w:rFonts w:ascii="Times New Roman" w:hAnsi="Times New Roman"/>
          <w:b/>
          <w:sz w:val="24"/>
        </w:rPr>
        <w:t>Individual dehydrators can be exempted</w:t>
      </w:r>
      <w:r>
        <w:rPr>
          <w:rFonts w:ascii="Times New Roman" w:hAnsi="Times New Roman"/>
          <w:sz w:val="24"/>
        </w:rPr>
        <w:t xml:space="preserve"> from the control, monitoring and most of the recordkeeping requirements if the actual emissions from a unit, calculated using the software program GRI-GlyCalc, are less than </w:t>
      </w:r>
      <w:r>
        <w:rPr>
          <w:rFonts w:ascii="Times New Roman" w:hAnsi="Times New Roman"/>
          <w:b/>
          <w:sz w:val="24"/>
        </w:rPr>
        <w:t>one ton/year of benzene</w:t>
      </w:r>
      <w:r>
        <w:rPr>
          <w:rFonts w:ascii="Times New Roman" w:hAnsi="Times New Roman"/>
          <w:sz w:val="24"/>
        </w:rPr>
        <w:t xml:space="preserve"> or actual gas throughput is less than </w:t>
      </w:r>
      <w:r>
        <w:rPr>
          <w:rFonts w:ascii="Times New Roman" w:hAnsi="Times New Roman"/>
          <w:b/>
          <w:sz w:val="24"/>
        </w:rPr>
        <w:t>3 MMSCF/year</w:t>
      </w:r>
      <w:r>
        <w:rPr>
          <w:rFonts w:ascii="Times New Roman" w:hAnsi="Times New Roman"/>
          <w:sz w:val="24"/>
        </w:rPr>
        <w:t xml:space="preserve"> (monitored to +/- 2% or documented). Records must be maintained demonstrating the calculation of the exemption values. If controls are installed to reduce emissions to less than the benzene threshold, a </w:t>
      </w:r>
      <w:r>
        <w:rPr>
          <w:rFonts w:ascii="Times New Roman" w:hAnsi="Times New Roman"/>
          <w:b/>
          <w:sz w:val="24"/>
        </w:rPr>
        <w:t>federally enforceable limit such as a state permit must be obtained</w:t>
      </w:r>
      <w:r>
        <w:rPr>
          <w:rFonts w:ascii="Times New Roman" w:hAnsi="Times New Roman"/>
          <w:sz w:val="24"/>
        </w:rPr>
        <w:t xml:space="preserve">. </w:t>
      </w:r>
    </w:p>
    <w:p>
      <w:pPr>
        <w:pStyle w:val="Normal"/>
        <w:bidi w:val="0"/>
        <w:spacing w:before="120" w:after="0"/>
        <w:jc w:val="both"/>
        <w:rPr>
          <w:rFonts w:ascii="Times New Roman" w:hAnsi="Times New Roman"/>
          <w:sz w:val="24"/>
        </w:rPr>
      </w:pPr>
      <w:r>
        <w:rPr>
          <w:rFonts w:ascii="Times New Roman" w:hAnsi="Times New Roman"/>
          <w:sz w:val="24"/>
        </w:rPr>
        <w:t xml:space="preserve">The regulating agency must be notified about existing Major Sources by </w:t>
      </w:r>
      <w:r>
        <w:rPr>
          <w:rFonts w:ascii="Times New Roman" w:hAnsi="Times New Roman"/>
          <w:b/>
          <w:sz w:val="24"/>
        </w:rPr>
        <w:t>June 17, 2000</w:t>
      </w:r>
      <w:r>
        <w:rPr>
          <w:rFonts w:ascii="Times New Roman" w:hAnsi="Times New Roman"/>
          <w:sz w:val="24"/>
        </w:rPr>
        <w:t xml:space="preserve">, even if there are plans to reduce emissions later. Controls on existing sources to reduce emissions to less than Major Source or exemption thresholds must be installed by </w:t>
      </w:r>
      <w:r>
        <w:rPr>
          <w:rFonts w:ascii="Times New Roman" w:hAnsi="Times New Roman"/>
          <w:b/>
          <w:sz w:val="24"/>
        </w:rPr>
        <w:t>June 17, 2002</w:t>
      </w:r>
      <w:r>
        <w:rPr>
          <w:rFonts w:ascii="Times New Roman" w:hAnsi="Times New Roman"/>
          <w:sz w:val="24"/>
        </w:rPr>
        <w:t>. A startup/shutdown/malfunction plan must be prepared for Major Sources even if all glycol units are exempted from the regulations. The Title V operating permits should be updated to include this new regulation.</w:t>
      </w:r>
    </w:p>
    <w:p>
      <w:pPr>
        <w:pStyle w:val="Normal"/>
        <w:bidi w:val="0"/>
        <w:spacing w:before="120" w:after="0"/>
        <w:jc w:val="both"/>
        <w:rPr>
          <w:rFonts w:ascii="Times New Roman" w:hAnsi="Times New Roman"/>
          <w:b/>
          <w:sz w:val="24"/>
        </w:rPr>
      </w:pPr>
      <w:r>
        <w:rPr>
          <w:rFonts w:ascii="Times New Roman" w:hAnsi="Times New Roman"/>
          <w:sz w:val="24"/>
        </w:rPr>
        <w:t xml:space="preserve">If glycol dehydration units cannot be exempted from this regulation, emissions must be reduced by </w:t>
      </w:r>
      <w:r>
        <w:rPr>
          <w:rFonts w:ascii="Times New Roman" w:hAnsi="Times New Roman"/>
          <w:b/>
          <w:sz w:val="24"/>
        </w:rPr>
        <w:t xml:space="preserve">95% </w:t>
      </w:r>
      <w:r>
        <w:rPr>
          <w:rFonts w:ascii="Times New Roman" w:hAnsi="Times New Roman"/>
          <w:sz w:val="24"/>
        </w:rPr>
        <w:t xml:space="preserve">either through controls or process modifications, and there are other significant and burdensome requirements including </w:t>
      </w:r>
      <w:r>
        <w:rPr>
          <w:rFonts w:ascii="Times New Roman" w:hAnsi="Times New Roman"/>
          <w:b/>
          <w:sz w:val="24"/>
        </w:rPr>
        <w:t>initial performance testing, "enhanced" monitoring, recordkeeping, and semi-annual agency reporting.</w:t>
      </w:r>
    </w:p>
    <w:p>
      <w:pPr>
        <w:pStyle w:val="Normal"/>
        <w:bidi w:val="0"/>
        <w:spacing w:before="120" w:after="0"/>
        <w:jc w:val="both"/>
        <w:rPr>
          <w:rFonts w:ascii="Times New Roman" w:hAnsi="Times New Roman"/>
          <w:b/>
          <w:sz w:val="24"/>
        </w:rPr>
      </w:pPr>
      <w:r>
        <w:rPr>
          <w:rFonts w:ascii="Times New Roman" w:hAnsi="Times New Roman"/>
          <w:b/>
          <w:sz w:val="24"/>
          <w:u w:val="single"/>
        </w:rPr>
        <w:t>Impact</w:t>
      </w:r>
      <w:r>
        <w:rPr>
          <w:rFonts w:ascii="Times New Roman" w:hAnsi="Times New Roman"/>
          <w:b/>
          <w:sz w:val="24"/>
        </w:rPr>
        <w:t>:</w:t>
      </w:r>
      <w:r>
        <w:rPr>
          <w:rFonts w:ascii="Times New Roman" w:hAnsi="Times New Roman"/>
          <w:sz w:val="28"/>
        </w:rPr>
        <w:t xml:space="preserve"> </w:t>
      </w:r>
      <w:r>
        <w:rPr>
          <w:rFonts w:ascii="Times New Roman" w:hAnsi="Times New Roman"/>
          <w:sz w:val="24"/>
        </w:rPr>
        <w:t xml:space="preserve">The impact of this rule will be </w:t>
      </w:r>
      <w:r>
        <w:rPr>
          <w:rFonts w:ascii="Times New Roman" w:hAnsi="Times New Roman"/>
          <w:b/>
          <w:sz w:val="24"/>
        </w:rPr>
        <w:t>significant</w:t>
      </w:r>
      <w:r>
        <w:rPr>
          <w:rFonts w:ascii="Times New Roman" w:hAnsi="Times New Roman"/>
          <w:sz w:val="24"/>
        </w:rPr>
        <w:t>. Efforts are already underway</w:t>
      </w:r>
      <w:r>
        <w:rPr>
          <w:rFonts w:ascii="Times New Roman" w:hAnsi="Times New Roman"/>
          <w:b/>
          <w:sz w:val="24"/>
        </w:rPr>
        <w:t xml:space="preserve"> </w:t>
      </w:r>
      <w:r>
        <w:rPr>
          <w:rFonts w:ascii="Times New Roman" w:hAnsi="Times New Roman"/>
          <w:sz w:val="24"/>
        </w:rPr>
        <w:t xml:space="preserve">to </w:t>
      </w:r>
      <w:r>
        <w:rPr>
          <w:rFonts w:ascii="Times New Roman" w:hAnsi="Times New Roman"/>
          <w:b/>
          <w:sz w:val="24"/>
        </w:rPr>
        <w:t>reduce emissions to less than the Major Source or exemption thresholds</w:t>
      </w:r>
      <w:r>
        <w:rPr>
          <w:rFonts w:ascii="Times New Roman" w:hAnsi="Times New Roman"/>
          <w:sz w:val="24"/>
        </w:rPr>
        <w:t xml:space="preserve">. If successful it is anticipated </w:t>
      </w:r>
      <w:r>
        <w:rPr>
          <w:rFonts w:ascii="Times New Roman" w:hAnsi="Times New Roman"/>
          <w:b/>
          <w:sz w:val="24"/>
        </w:rPr>
        <w:t>that few glycol dehydrators</w:t>
      </w:r>
      <w:r>
        <w:rPr>
          <w:rFonts w:ascii="Times New Roman" w:hAnsi="Times New Roman"/>
          <w:sz w:val="24"/>
        </w:rPr>
        <w:t xml:space="preserve"> will be subject to the </w:t>
      </w:r>
      <w:r>
        <w:rPr>
          <w:rFonts w:ascii="Times New Roman" w:hAnsi="Times New Roman"/>
          <w:b/>
          <w:sz w:val="24"/>
        </w:rPr>
        <w:t>extensive</w:t>
      </w:r>
      <w:r>
        <w:rPr>
          <w:rFonts w:ascii="Times New Roman" w:hAnsi="Times New Roman"/>
          <w:sz w:val="24"/>
        </w:rPr>
        <w:t xml:space="preserve"> control, monitoring and recordkeeping requirements in this regulation. It will require considerable effort to determine Major Sources under the new methodology specified in this regulation, install controls if required to reduce emissions, calculate emissions to determine if the exemption criteria have been met, modify the Title V operating permits, and obtain state agency permits to enforce the reduced emission levels. The main impact will be on locations with glycol dehydrators since it is believed that GPG does not have any storage tanks that have sufficient throughput to be regulated and operates very few gas plants anymore.</w:t>
      </w:r>
    </w:p>
    <w:p>
      <w:pPr>
        <w:pStyle w:val="Normal"/>
        <w:bidi w:val="0"/>
        <w:spacing w:before="120" w:after="0"/>
        <w:jc w:val="start"/>
        <w:rPr>
          <w:rFonts w:ascii="Times New Roman" w:hAnsi="Times New Roman"/>
          <w:sz w:val="24"/>
        </w:rPr>
      </w:pPr>
      <w:r>
        <w:rPr>
          <w:rFonts w:ascii="Times New Roman" w:hAnsi="Times New Roman"/>
          <w:b/>
          <w:sz w:val="24"/>
          <w:u w:val="single"/>
        </w:rPr>
        <w:t>Recommended Actions</w:t>
      </w:r>
      <w:r>
        <w:rPr>
          <w:rFonts w:ascii="Times New Roman" w:hAnsi="Times New Roman"/>
          <w:b/>
          <w:sz w:val="24"/>
        </w:rPr>
        <w:t>:</w:t>
      </w:r>
      <w:r>
        <w:rPr>
          <w:rFonts w:ascii="Times New Roman" w:hAnsi="Times New Roman"/>
          <w:sz w:val="24"/>
        </w:rPr>
        <w:t xml:space="preserve"> The Division Environmental Specialists should determine if their </w:t>
      </w:r>
      <w:r>
        <w:rPr>
          <w:rFonts w:ascii="Times New Roman" w:hAnsi="Times New Roman"/>
          <w:b/>
          <w:sz w:val="24"/>
        </w:rPr>
        <w:t>inventories</w:t>
      </w:r>
      <w:r>
        <w:rPr>
          <w:rFonts w:ascii="Times New Roman" w:hAnsi="Times New Roman"/>
          <w:sz w:val="24"/>
        </w:rPr>
        <w:t xml:space="preserve"> of locations with glycol dehydrators are complete. They should </w:t>
      </w:r>
      <w:r>
        <w:rPr>
          <w:rFonts w:ascii="Times New Roman" w:hAnsi="Times New Roman"/>
          <w:b/>
          <w:sz w:val="24"/>
        </w:rPr>
        <w:t>re-calculate emissions</w:t>
      </w:r>
      <w:r>
        <w:rPr>
          <w:rFonts w:ascii="Times New Roman" w:hAnsi="Times New Roman"/>
          <w:sz w:val="24"/>
        </w:rPr>
        <w:t xml:space="preserve"> based on the new EPA criterion at locations near the Major Source thresholds to determine if their Title V status is affected. For the HAP Major Sources, the permitting state agency should be contacted to determine how to incorporate these requirements into the Title V operating permit. The above three items should be completed by </w:t>
      </w:r>
      <w:r>
        <w:rPr>
          <w:rFonts w:ascii="Times New Roman" w:hAnsi="Times New Roman"/>
          <w:b/>
          <w:sz w:val="24"/>
        </w:rPr>
        <w:t>October 1, 1999</w:t>
      </w:r>
      <w:r>
        <w:rPr>
          <w:rFonts w:ascii="Times New Roman" w:hAnsi="Times New Roman"/>
          <w:sz w:val="24"/>
        </w:rPr>
        <w:t xml:space="preserve">. Once the Major Source locations have been determined they should </w:t>
      </w:r>
      <w:r>
        <w:rPr>
          <w:rFonts w:ascii="Times New Roman" w:hAnsi="Times New Roman"/>
          <w:b/>
          <w:sz w:val="24"/>
        </w:rPr>
        <w:t>develop a strategy</w:t>
      </w:r>
      <w:r>
        <w:rPr>
          <w:rFonts w:ascii="Times New Roman" w:hAnsi="Times New Roman"/>
          <w:sz w:val="24"/>
        </w:rPr>
        <w:t xml:space="preserve"> to reduce emissions below exemption levels. The strategy should be developed before the </w:t>
      </w:r>
      <w:r>
        <w:rPr>
          <w:rFonts w:ascii="Times New Roman" w:hAnsi="Times New Roman"/>
          <w:b/>
          <w:sz w:val="24"/>
        </w:rPr>
        <w:t>June 17, 2000</w:t>
      </w:r>
      <w:r>
        <w:rPr>
          <w:rFonts w:ascii="Times New Roman" w:hAnsi="Times New Roman"/>
          <w:sz w:val="24"/>
        </w:rPr>
        <w:t xml:space="preserve"> deadline to register Major Sources. Because EPA plans on regulating Area (Non-Major) Sources later, the focus should be on reductions </w:t>
      </w:r>
      <w:r>
        <w:rPr>
          <w:rFonts w:ascii="Times New Roman" w:hAnsi="Times New Roman"/>
          <w:b/>
          <w:sz w:val="24"/>
        </w:rPr>
        <w:t>below the exemption thresholds</w:t>
      </w:r>
      <w:r>
        <w:rPr>
          <w:rFonts w:ascii="Times New Roman" w:hAnsi="Times New Roman"/>
          <w:sz w:val="24"/>
        </w:rPr>
        <w:t xml:space="preserve"> and not the Major Source thresholds. It has been indicated that GPG does not have any new sources (installed on or after February 6, 1998) so this notice does not discuss the new source requirements. </w:t>
      </w:r>
    </w:p>
    <w:p>
      <w:pPr>
        <w:pStyle w:val="Normal"/>
        <w:bidi w:val="0"/>
        <w:spacing w:before="120" w:after="0"/>
        <w:jc w:val="both"/>
        <w:rPr>
          <w:rFonts w:ascii="Times New Roman" w:hAnsi="Times New Roman"/>
          <w:sz w:val="24"/>
        </w:rPr>
      </w:pPr>
      <w:r>
        <w:rPr>
          <w:rFonts w:ascii="Times New Roman" w:hAnsi="Times New Roman"/>
          <w:sz w:val="24"/>
        </w:rPr>
        <w:t>This Environmental Notice (Technical Version) has been distributed to appropriate directors of technical services and environmental and technical staff.    A Management Version has been distributed to appropriate management personnel.    If there are any questions concerning this regulation, contact Marc Phillips at (713) 646-7646.</w:t>
      </w:r>
    </w:p>
    <w:p>
      <w:pPr>
        <w:pStyle w:val="Normal"/>
        <w:bidi w:val="0"/>
        <w:ind w:hanging="90" w:start="90"/>
        <w:jc w:val="both"/>
        <w:rPr>
          <w:rFonts w:ascii="Times New Roman" w:hAnsi="Times New Roman"/>
          <w:sz w:val="24"/>
          <w:u w:val="single"/>
        </w:rPr>
      </w:pPr>
      <w:r>
        <w:rPr>
          <w:rFonts w:ascii="Times New Roman" w:hAnsi="Times New Roman"/>
          <w:sz w:val="24"/>
          <w:u w:val="single"/>
        </w:rPr>
      </w:r>
    </w:p>
    <w:p>
      <w:pPr>
        <w:pStyle w:val="Normal"/>
        <w:bidi w:val="0"/>
        <w:ind w:hanging="90" w:start="90"/>
        <w:jc w:val="both"/>
        <w:rPr>
          <w:rFonts w:ascii="Times New Roman" w:hAnsi="Times New Roman"/>
          <w:sz w:val="24"/>
          <w:u w:val="single"/>
        </w:rPr>
      </w:pPr>
      <w:r>
        <w:rPr>
          <w:rFonts w:ascii="Times New Roman" w:hAnsi="Times New Roman"/>
          <w:sz w:val="24"/>
          <w:u w:val="single"/>
        </w:rPr>
        <w:t>Distribution:</w:t>
      </w:r>
    </w:p>
    <w:tbl>
      <w:tblPr>
        <w:tblW w:w="7830" w:type="dxa"/>
        <w:jc w:val="start"/>
        <w:tblInd w:w="0" w:type="dxa"/>
        <w:tblLayout w:type="fixed"/>
        <w:tblCellMar>
          <w:top w:w="0" w:type="dxa"/>
          <w:start w:w="108" w:type="dxa"/>
          <w:bottom w:w="0" w:type="dxa"/>
          <w:end w:w="108" w:type="dxa"/>
        </w:tblCellMar>
      </w:tblPr>
      <w:tblGrid>
        <w:gridCol w:w="2610"/>
        <w:gridCol w:w="2610"/>
        <w:gridCol w:w="2610"/>
      </w:tblGrid>
      <w:tr>
        <w:trPr/>
        <w:tc>
          <w:tcPr>
            <w:tcW w:w="2610" w:type="dxa"/>
            <w:tcBorders/>
          </w:tcPr>
          <w:p>
            <w:pPr>
              <w:pStyle w:val="Normal"/>
              <w:tabs>
                <w:tab w:val="clear" w:pos="720"/>
              </w:tabs>
              <w:bidi w:val="0"/>
              <w:jc w:val="start"/>
              <w:rPr/>
            </w:pPr>
            <w:r>
              <w:rPr>
                <w:rFonts w:ascii="Times New Roman" w:hAnsi="Times New Roman"/>
                <w:b/>
              </w:rPr>
              <w:t>Operations Support</w:t>
            </w:r>
          </w:p>
        </w:tc>
        <w:tc>
          <w:tcPr>
            <w:tcW w:w="2610" w:type="dxa"/>
            <w:tcBorders/>
          </w:tcPr>
          <w:p>
            <w:pPr>
              <w:pStyle w:val="Normal"/>
              <w:tabs>
                <w:tab w:val="clear" w:pos="720"/>
              </w:tabs>
              <w:bidi w:val="0"/>
              <w:jc w:val="start"/>
              <w:rPr/>
            </w:pPr>
            <w:r>
              <w:rPr>
                <w:rFonts w:ascii="Times New Roman" w:hAnsi="Times New Roman"/>
                <w:b/>
              </w:rPr>
              <w:t>Tech Directors</w:t>
            </w:r>
          </w:p>
        </w:tc>
        <w:tc>
          <w:tcPr>
            <w:tcW w:w="2610" w:type="dxa"/>
            <w:tcBorders/>
          </w:tcPr>
          <w:p>
            <w:pPr>
              <w:pStyle w:val="Normal"/>
              <w:tabs>
                <w:tab w:val="clear" w:pos="720"/>
              </w:tabs>
              <w:bidi w:val="0"/>
              <w:jc w:val="start"/>
              <w:rPr/>
            </w:pPr>
            <w:r>
              <w:rPr>
                <w:rFonts w:ascii="Times New Roman" w:hAnsi="Times New Roman"/>
                <w:b/>
              </w:rPr>
              <w:t>DES</w:t>
            </w:r>
          </w:p>
        </w:tc>
      </w:tr>
      <w:tr>
        <w:trPr/>
        <w:tc>
          <w:tcPr>
            <w:tcW w:w="2610" w:type="dxa"/>
            <w:tcBorders/>
          </w:tcPr>
          <w:p>
            <w:pPr>
              <w:pStyle w:val="Normal"/>
              <w:tabs>
                <w:tab w:val="clear" w:pos="720"/>
              </w:tabs>
              <w:bidi w:val="0"/>
              <w:jc w:val="start"/>
              <w:rPr/>
            </w:pPr>
            <w:r>
              <w:rPr>
                <w:rFonts w:ascii="Times New Roman" w:hAnsi="Times New Roman"/>
              </w:rPr>
              <w:t>Terraso, Mike</w:t>
            </w:r>
          </w:p>
        </w:tc>
        <w:tc>
          <w:tcPr>
            <w:tcW w:w="2610" w:type="dxa"/>
            <w:tcBorders/>
          </w:tcPr>
          <w:p>
            <w:pPr>
              <w:pStyle w:val="Normal"/>
              <w:tabs>
                <w:tab w:val="clear" w:pos="720"/>
              </w:tabs>
              <w:bidi w:val="0"/>
              <w:jc w:val="start"/>
              <w:rPr/>
            </w:pPr>
            <w:r>
              <w:rPr>
                <w:rFonts w:ascii="Times New Roman" w:hAnsi="Times New Roman"/>
              </w:rPr>
              <w:t>Cates, Rick</w:t>
            </w:r>
          </w:p>
        </w:tc>
        <w:tc>
          <w:tcPr>
            <w:tcW w:w="2610" w:type="dxa"/>
            <w:tcBorders/>
          </w:tcPr>
          <w:p>
            <w:pPr>
              <w:pStyle w:val="Normal"/>
              <w:tabs>
                <w:tab w:val="clear" w:pos="720"/>
              </w:tabs>
              <w:bidi w:val="0"/>
              <w:jc w:val="start"/>
              <w:rPr/>
            </w:pPr>
            <w:r>
              <w:rPr>
                <w:rFonts w:ascii="Times New Roman" w:hAnsi="Times New Roman"/>
              </w:rPr>
              <w:t>Ayers, David</w:t>
            </w:r>
          </w:p>
        </w:tc>
      </w:tr>
      <w:tr>
        <w:trPr/>
        <w:tc>
          <w:tcPr>
            <w:tcW w:w="2610" w:type="dxa"/>
            <w:tcBorders/>
          </w:tcPr>
          <w:p>
            <w:pPr>
              <w:pStyle w:val="Normal"/>
              <w:widowControl w:val="false"/>
              <w:suppressAutoHyphens w:val="true"/>
              <w:bidi w:val="0"/>
              <w:jc w:val="start"/>
              <w:rPr/>
            </w:pPr>
            <w:r>
              <w:rPr>
                <w:rFonts w:ascii="Times New Roman" w:hAnsi="Times New Roman"/>
              </w:rPr>
              <w:t>Environmental Team</w:t>
            </w:r>
          </w:p>
        </w:tc>
        <w:tc>
          <w:tcPr>
            <w:tcW w:w="2610" w:type="dxa"/>
            <w:tcBorders/>
          </w:tcPr>
          <w:p>
            <w:pPr>
              <w:pStyle w:val="Normal"/>
              <w:widowControl w:val="false"/>
              <w:suppressAutoHyphens w:val="true"/>
              <w:bidi w:val="0"/>
              <w:jc w:val="start"/>
              <w:rPr/>
            </w:pPr>
            <w:r>
              <w:rPr>
                <w:rFonts w:ascii="Times New Roman" w:hAnsi="Times New Roman"/>
                <w:sz w:val="18"/>
              </w:rPr>
              <w:t xml:space="preserve">Weatherford, Allan </w:t>
            </w:r>
          </w:p>
        </w:tc>
        <w:tc>
          <w:tcPr>
            <w:tcW w:w="2610" w:type="dxa"/>
            <w:tcBorders/>
          </w:tcPr>
          <w:p>
            <w:pPr>
              <w:pStyle w:val="Normal"/>
              <w:widowControl w:val="false"/>
              <w:suppressAutoHyphens w:val="true"/>
              <w:bidi w:val="0"/>
              <w:jc w:val="start"/>
              <w:rPr/>
            </w:pPr>
            <w:r>
              <w:rPr>
                <w:rFonts w:ascii="Times New Roman" w:hAnsi="Times New Roman"/>
              </w:rPr>
              <w:t>Campbell, Larry</w:t>
            </w:r>
          </w:p>
        </w:tc>
      </w:tr>
      <w:tr>
        <w:trPr/>
        <w:tc>
          <w:tcPr>
            <w:tcW w:w="2610" w:type="dxa"/>
            <w:tcBorders/>
          </w:tcPr>
          <w:p>
            <w:pPr>
              <w:pStyle w:val="Normal"/>
              <w:widowControl w:val="false"/>
              <w:suppressAutoHyphens w:val="true"/>
              <w:bidi w:val="0"/>
              <w:jc w:val="start"/>
              <w:rPr/>
            </w:pPr>
            <w:r>
              <w:rPr>
                <w:rFonts w:ascii="Times New Roman" w:hAnsi="Times New Roman"/>
              </w:rPr>
              <w:t>Reg Tech Team</w:t>
            </w:r>
          </w:p>
        </w:tc>
        <w:tc>
          <w:tcPr>
            <w:tcW w:w="2610" w:type="dxa"/>
            <w:tcBorders/>
          </w:tcPr>
          <w:p>
            <w:pPr>
              <w:pStyle w:val="Normal"/>
              <w:bidi w:val="0"/>
              <w:jc w:val="start"/>
              <w:rPr>
                <w:rFonts w:ascii="Times New Roman" w:hAnsi="Times New Roman"/>
              </w:rPr>
            </w:pPr>
            <w:r>
              <w:rPr>
                <w:rFonts w:ascii="Times New Roman" w:hAnsi="Times New Roman"/>
              </w:rPr>
            </w:r>
          </w:p>
        </w:tc>
        <w:tc>
          <w:tcPr>
            <w:tcW w:w="2610" w:type="dxa"/>
            <w:tcBorders/>
          </w:tcPr>
          <w:p>
            <w:pPr>
              <w:pStyle w:val="Normal"/>
              <w:widowControl w:val="false"/>
              <w:suppressAutoHyphens w:val="true"/>
              <w:bidi w:val="0"/>
              <w:jc w:val="start"/>
              <w:rPr/>
            </w:pPr>
            <w:r>
              <w:rPr>
                <w:rFonts w:ascii="Times New Roman" w:hAnsi="Times New Roman"/>
              </w:rPr>
              <w:t>Harkrader, Ronald</w:t>
            </w:r>
          </w:p>
        </w:tc>
      </w:tr>
      <w:tr>
        <w:trPr/>
        <w:tc>
          <w:tcPr>
            <w:tcW w:w="2610" w:type="dxa"/>
            <w:tcBorders/>
          </w:tcPr>
          <w:p>
            <w:pPr>
              <w:pStyle w:val="Normal"/>
              <w:widowControl w:val="false"/>
              <w:suppressAutoHyphens w:val="true"/>
              <w:bidi w:val="0"/>
              <w:jc w:val="start"/>
              <w:rPr/>
            </w:pPr>
            <w:r>
              <w:rPr>
                <w:rFonts w:ascii="Times New Roman" w:hAnsi="Times New Roman"/>
              </w:rPr>
              <w:t>Fernandez, Sue</w:t>
            </w:r>
          </w:p>
        </w:tc>
        <w:tc>
          <w:tcPr>
            <w:tcW w:w="2610" w:type="dxa"/>
            <w:tcBorders/>
          </w:tcPr>
          <w:p>
            <w:pPr>
              <w:pStyle w:val="Normal"/>
              <w:widowControl w:val="false"/>
              <w:suppressAutoHyphens w:val="true"/>
              <w:bidi w:val="0"/>
              <w:jc w:val="start"/>
              <w:rPr/>
            </w:pPr>
            <w:r>
              <w:rPr>
                <w:rFonts w:ascii="Times New Roman" w:hAnsi="Times New Roman"/>
                <w:b/>
              </w:rPr>
              <w:t>Environ Coord</w:t>
            </w:r>
          </w:p>
        </w:tc>
        <w:tc>
          <w:tcPr>
            <w:tcW w:w="2610" w:type="dxa"/>
            <w:tcBorders/>
          </w:tcPr>
          <w:p>
            <w:pPr>
              <w:pStyle w:val="Normal"/>
              <w:widowControl w:val="false"/>
              <w:suppressAutoHyphens w:val="true"/>
              <w:bidi w:val="0"/>
              <w:jc w:val="start"/>
              <w:rPr/>
            </w:pPr>
            <w:r>
              <w:rPr>
                <w:rFonts w:ascii="Times New Roman" w:hAnsi="Times New Roman"/>
              </w:rPr>
              <w:t>Loveless, Rick</w:t>
            </w:r>
          </w:p>
        </w:tc>
      </w:tr>
      <w:tr>
        <w:trPr/>
        <w:tc>
          <w:tcPr>
            <w:tcW w:w="2610" w:type="dxa"/>
            <w:tcBorders/>
          </w:tcPr>
          <w:p>
            <w:pPr>
              <w:pStyle w:val="Normal"/>
              <w:bidi w:val="0"/>
              <w:jc w:val="start"/>
              <w:rPr>
                <w:rFonts w:ascii="Times New Roman" w:hAnsi="Times New Roman"/>
              </w:rPr>
            </w:pPr>
            <w:r>
              <w:rPr>
                <w:rFonts w:ascii="Times New Roman" w:hAnsi="Times New Roman"/>
              </w:rPr>
            </w:r>
          </w:p>
        </w:tc>
        <w:tc>
          <w:tcPr>
            <w:tcW w:w="2610" w:type="dxa"/>
            <w:tcBorders/>
          </w:tcPr>
          <w:p>
            <w:pPr>
              <w:pStyle w:val="Normal"/>
              <w:widowControl w:val="false"/>
              <w:suppressAutoHyphens w:val="true"/>
              <w:bidi w:val="0"/>
              <w:jc w:val="start"/>
              <w:rPr/>
            </w:pPr>
            <w:r>
              <w:rPr>
                <w:rFonts w:ascii="Times New Roman" w:hAnsi="Times New Roman"/>
              </w:rPr>
              <w:t>Poston, Tom</w:t>
            </w:r>
          </w:p>
        </w:tc>
        <w:tc>
          <w:tcPr>
            <w:tcW w:w="2610" w:type="dxa"/>
            <w:tcBorders/>
          </w:tcPr>
          <w:p>
            <w:pPr>
              <w:pStyle w:val="Normal"/>
              <w:widowControl w:val="false"/>
              <w:suppressAutoHyphens w:val="true"/>
              <w:bidi w:val="0"/>
              <w:jc w:val="start"/>
              <w:rPr/>
            </w:pPr>
            <w:r>
              <w:rPr>
                <w:rFonts w:ascii="Times New Roman" w:hAnsi="Times New Roman"/>
              </w:rPr>
              <w:t>Nichols, Leo</w:t>
            </w:r>
          </w:p>
        </w:tc>
      </w:tr>
      <w:tr>
        <w:trPr/>
        <w:tc>
          <w:tcPr>
            <w:tcW w:w="2610" w:type="dxa"/>
            <w:tcBorders/>
          </w:tcPr>
          <w:p>
            <w:pPr>
              <w:pStyle w:val="Normal"/>
              <w:widowControl w:val="false"/>
              <w:suppressAutoHyphens w:val="true"/>
              <w:bidi w:val="0"/>
              <w:jc w:val="start"/>
              <w:rPr/>
            </w:pPr>
            <w:r>
              <w:rPr>
                <w:rFonts w:ascii="Times New Roman" w:hAnsi="Times New Roman"/>
                <w:b/>
              </w:rPr>
              <w:t>Legal</w:t>
            </w:r>
          </w:p>
        </w:tc>
        <w:tc>
          <w:tcPr>
            <w:tcW w:w="2610" w:type="dxa"/>
            <w:tcBorders/>
          </w:tcPr>
          <w:p>
            <w:pPr>
              <w:pStyle w:val="Normal"/>
              <w:widowControl w:val="false"/>
              <w:suppressAutoHyphens w:val="true"/>
              <w:bidi w:val="0"/>
              <w:jc w:val="start"/>
              <w:rPr/>
            </w:pPr>
            <w:r>
              <w:rPr>
                <w:rFonts w:ascii="Times New Roman" w:hAnsi="Times New Roman"/>
              </w:rPr>
              <w:t>Stebens, Monte</w:t>
            </w:r>
          </w:p>
        </w:tc>
        <w:tc>
          <w:tcPr>
            <w:tcW w:w="2610" w:type="dxa"/>
            <w:tcBorders/>
          </w:tcPr>
          <w:p>
            <w:pPr>
              <w:pStyle w:val="Normal"/>
              <w:widowControl w:val="false"/>
              <w:suppressAutoHyphens w:val="true"/>
              <w:bidi w:val="0"/>
              <w:jc w:val="start"/>
              <w:rPr/>
            </w:pPr>
            <w:r>
              <w:rPr>
                <w:rFonts w:ascii="Times New Roman" w:hAnsi="Times New Roman"/>
              </w:rPr>
              <w:t>Purvis, Kyle</w:t>
            </w:r>
          </w:p>
        </w:tc>
      </w:tr>
      <w:tr>
        <w:trPr/>
        <w:tc>
          <w:tcPr>
            <w:tcW w:w="2610" w:type="dxa"/>
            <w:tcBorders/>
          </w:tcPr>
          <w:p>
            <w:pPr>
              <w:pStyle w:val="Normal"/>
              <w:widowControl w:val="false"/>
              <w:suppressAutoHyphens w:val="true"/>
              <w:bidi w:val="0"/>
              <w:jc w:val="start"/>
              <w:rPr/>
            </w:pPr>
            <w:r>
              <w:rPr>
                <w:rFonts w:ascii="Times New Roman" w:hAnsi="Times New Roman"/>
              </w:rPr>
              <w:t>Nutt, David</w:t>
            </w:r>
          </w:p>
        </w:tc>
        <w:tc>
          <w:tcPr>
            <w:tcW w:w="2610" w:type="dxa"/>
            <w:tcBorders/>
          </w:tcPr>
          <w:p>
            <w:pPr>
              <w:pStyle w:val="Normal"/>
              <w:widowControl w:val="false"/>
              <w:suppressAutoHyphens w:val="true"/>
              <w:bidi w:val="0"/>
              <w:jc w:val="start"/>
              <w:rPr/>
            </w:pPr>
            <w:r>
              <w:rPr>
                <w:rFonts w:ascii="Times New Roman" w:hAnsi="Times New Roman"/>
              </w:rPr>
              <w:t>Trout, Lonnie</w:t>
            </w:r>
          </w:p>
        </w:tc>
        <w:tc>
          <w:tcPr>
            <w:tcW w:w="2610" w:type="dxa"/>
            <w:tcBorders/>
          </w:tcPr>
          <w:p>
            <w:pPr>
              <w:pStyle w:val="Normal"/>
              <w:widowControl w:val="false"/>
              <w:suppressAutoHyphens w:val="true"/>
              <w:bidi w:val="0"/>
              <w:jc w:val="start"/>
              <w:rPr/>
            </w:pPr>
            <w:r>
              <w:rPr>
                <w:rFonts w:ascii="Times New Roman" w:hAnsi="Times New Roman"/>
              </w:rPr>
              <w:t>Riedel, Mike</w:t>
            </w:r>
          </w:p>
        </w:tc>
      </w:tr>
      <w:tr>
        <w:trPr/>
        <w:tc>
          <w:tcPr>
            <w:tcW w:w="2610" w:type="dxa"/>
            <w:tcBorders/>
          </w:tcPr>
          <w:p>
            <w:pPr>
              <w:pStyle w:val="Normal"/>
              <w:widowControl w:val="false"/>
              <w:suppressAutoHyphens w:val="true"/>
              <w:bidi w:val="0"/>
              <w:jc w:val="start"/>
              <w:rPr/>
            </w:pPr>
            <w:r>
              <w:rPr>
                <w:rFonts w:ascii="Times New Roman" w:hAnsi="Times New Roman"/>
              </w:rPr>
              <w:t>Reich, Bret</w:t>
            </w:r>
          </w:p>
        </w:tc>
        <w:tc>
          <w:tcPr>
            <w:tcW w:w="2610" w:type="dxa"/>
            <w:tcBorders/>
          </w:tcPr>
          <w:p>
            <w:pPr>
              <w:pStyle w:val="Normal"/>
              <w:bidi w:val="0"/>
              <w:jc w:val="start"/>
              <w:rPr>
                <w:rFonts w:ascii="Times New Roman" w:hAnsi="Times New Roman"/>
                <w:sz w:val="18"/>
              </w:rPr>
            </w:pPr>
            <w:r>
              <w:rPr>
                <w:rFonts w:ascii="Times New Roman" w:hAnsi="Times New Roman"/>
                <w:sz w:val="18"/>
              </w:rPr>
            </w:r>
          </w:p>
        </w:tc>
        <w:tc>
          <w:tcPr>
            <w:tcW w:w="2610" w:type="dxa"/>
            <w:tcBorders/>
          </w:tcPr>
          <w:p>
            <w:pPr>
              <w:pStyle w:val="Normal"/>
              <w:widowControl w:val="false"/>
              <w:suppressAutoHyphens w:val="true"/>
              <w:bidi w:val="0"/>
              <w:jc w:val="start"/>
              <w:rPr/>
            </w:pPr>
            <w:r>
              <w:rPr>
                <w:rFonts w:ascii="Times New Roman" w:hAnsi="Times New Roman"/>
              </w:rPr>
              <w:t>Russell, Butch</w:t>
            </w:r>
          </w:p>
        </w:tc>
      </w:tr>
      <w:tr>
        <w:trPr/>
        <w:tc>
          <w:tcPr>
            <w:tcW w:w="2610" w:type="dxa"/>
            <w:tcBorders/>
          </w:tcPr>
          <w:p>
            <w:pPr>
              <w:pStyle w:val="Normal"/>
              <w:widowControl w:val="false"/>
              <w:suppressAutoHyphens w:val="true"/>
              <w:bidi w:val="0"/>
              <w:jc w:val="start"/>
              <w:rPr/>
            </w:pPr>
            <w:r>
              <w:rPr>
                <w:rFonts w:ascii="Times New Roman" w:hAnsi="Times New Roman"/>
              </w:rPr>
              <w:t>Smith, Frank</w:t>
            </w:r>
          </w:p>
        </w:tc>
        <w:tc>
          <w:tcPr>
            <w:tcW w:w="2610" w:type="dxa"/>
            <w:tcBorders/>
          </w:tcPr>
          <w:p>
            <w:pPr>
              <w:pStyle w:val="Normal"/>
              <w:bidi w:val="0"/>
              <w:jc w:val="start"/>
              <w:rPr>
                <w:rFonts w:ascii="Times New Roman" w:hAnsi="Times New Roman"/>
                <w:b/>
              </w:rPr>
            </w:pPr>
            <w:r>
              <w:rPr>
                <w:rFonts w:ascii="Times New Roman" w:hAnsi="Times New Roman"/>
                <w:b/>
              </w:rPr>
            </w:r>
          </w:p>
        </w:tc>
        <w:tc>
          <w:tcPr>
            <w:tcW w:w="2610" w:type="dxa"/>
            <w:tcBorders/>
          </w:tcPr>
          <w:p>
            <w:pPr>
              <w:pStyle w:val="Normal"/>
              <w:bidi w:val="0"/>
              <w:jc w:val="start"/>
              <w:rPr>
                <w:rFonts w:ascii="Times New Roman" w:hAnsi="Times New Roman"/>
              </w:rPr>
            </w:pPr>
            <w:r>
              <w:rPr>
                <w:rFonts w:ascii="Times New Roman" w:hAnsi="Times New Roman"/>
              </w:rPr>
            </w:r>
          </w:p>
        </w:tc>
      </w:tr>
      <w:tr>
        <w:trPr/>
        <w:tc>
          <w:tcPr>
            <w:tcW w:w="2610" w:type="dxa"/>
            <w:tcBorders/>
          </w:tcPr>
          <w:p>
            <w:pPr>
              <w:pStyle w:val="Normal"/>
              <w:widowControl w:val="false"/>
              <w:suppressAutoHyphens w:val="true"/>
              <w:bidi w:val="0"/>
              <w:jc w:val="start"/>
              <w:rPr/>
            </w:pPr>
            <w:r>
              <w:rPr>
                <w:rFonts w:ascii="Times New Roman" w:hAnsi="Times New Roman"/>
              </w:rPr>
              <w:t>Soldano, Lou</w:t>
            </w:r>
          </w:p>
        </w:tc>
        <w:tc>
          <w:tcPr>
            <w:tcW w:w="2610" w:type="dxa"/>
            <w:tcBorders/>
          </w:tcPr>
          <w:p>
            <w:pPr>
              <w:pStyle w:val="Normal"/>
              <w:bidi w:val="0"/>
              <w:jc w:val="start"/>
              <w:rPr>
                <w:rFonts w:ascii="Times New Roman" w:hAnsi="Times New Roman"/>
                <w:sz w:val="18"/>
              </w:rPr>
            </w:pPr>
            <w:r>
              <w:rPr>
                <w:rFonts w:ascii="Times New Roman" w:hAnsi="Times New Roman"/>
                <w:sz w:val="18"/>
              </w:rPr>
            </w:r>
          </w:p>
        </w:tc>
        <w:tc>
          <w:tcPr>
            <w:tcW w:w="2610" w:type="dxa"/>
            <w:tcBorders/>
          </w:tcPr>
          <w:p>
            <w:pPr>
              <w:pStyle w:val="Normal"/>
              <w:bidi w:val="0"/>
              <w:jc w:val="start"/>
              <w:rPr>
                <w:rFonts w:ascii="Times New Roman" w:hAnsi="Times New Roman"/>
              </w:rPr>
            </w:pPr>
            <w:r>
              <w:rPr>
                <w:rFonts w:ascii="Times New Roman" w:hAnsi="Times New Roman"/>
              </w:rPr>
            </w:r>
          </w:p>
        </w:tc>
      </w:tr>
      <w:tr>
        <w:trPr/>
        <w:tc>
          <w:tcPr>
            <w:tcW w:w="2610" w:type="dxa"/>
            <w:tcBorders/>
          </w:tcPr>
          <w:p>
            <w:pPr>
              <w:pStyle w:val="Normal"/>
              <w:bidi w:val="0"/>
              <w:jc w:val="start"/>
              <w:rPr>
                <w:rFonts w:ascii="Times New Roman" w:hAnsi="Times New Roman"/>
              </w:rPr>
            </w:pPr>
            <w:r>
              <w:rPr>
                <w:rFonts w:ascii="Times New Roman" w:hAnsi="Times New Roman"/>
              </w:rPr>
            </w:r>
          </w:p>
        </w:tc>
        <w:tc>
          <w:tcPr>
            <w:tcW w:w="2610" w:type="dxa"/>
            <w:tcBorders/>
          </w:tcPr>
          <w:p>
            <w:pPr>
              <w:pStyle w:val="Normal"/>
              <w:bidi w:val="0"/>
              <w:jc w:val="start"/>
              <w:rPr>
                <w:rFonts w:ascii="Times New Roman" w:hAnsi="Times New Roman"/>
                <w:sz w:val="18"/>
              </w:rPr>
            </w:pPr>
            <w:r>
              <w:rPr>
                <w:rFonts w:ascii="Times New Roman" w:hAnsi="Times New Roman"/>
                <w:sz w:val="18"/>
              </w:rPr>
            </w:r>
          </w:p>
        </w:tc>
        <w:tc>
          <w:tcPr>
            <w:tcW w:w="2610" w:type="dxa"/>
            <w:tcBorders/>
          </w:tcPr>
          <w:p>
            <w:pPr>
              <w:pStyle w:val="Normal"/>
              <w:bidi w:val="0"/>
              <w:jc w:val="start"/>
              <w:rPr>
                <w:rFonts w:ascii="Times New Roman" w:hAnsi="Times New Roman"/>
              </w:rPr>
            </w:pPr>
            <w:r>
              <w:rPr>
                <w:rFonts w:ascii="Times New Roman" w:hAnsi="Times New Roman"/>
              </w:rPr>
            </w:r>
          </w:p>
        </w:tc>
      </w:tr>
      <w:tr>
        <w:trPr/>
        <w:tc>
          <w:tcPr>
            <w:tcW w:w="2610" w:type="dxa"/>
            <w:tcBorders/>
          </w:tcPr>
          <w:p>
            <w:pPr>
              <w:pStyle w:val="Normal"/>
              <w:bidi w:val="0"/>
              <w:jc w:val="start"/>
              <w:rPr>
                <w:rFonts w:ascii="Times New Roman" w:hAnsi="Times New Roman"/>
              </w:rPr>
            </w:pPr>
            <w:r>
              <w:rPr>
                <w:rFonts w:ascii="Times New Roman" w:hAnsi="Times New Roman"/>
              </w:rPr>
            </w:r>
          </w:p>
        </w:tc>
        <w:tc>
          <w:tcPr>
            <w:tcW w:w="2610" w:type="dxa"/>
            <w:tcBorders/>
          </w:tcPr>
          <w:p>
            <w:pPr>
              <w:pStyle w:val="Normal"/>
              <w:bidi w:val="0"/>
              <w:jc w:val="start"/>
              <w:rPr>
                <w:rFonts w:ascii="Times New Roman" w:hAnsi="Times New Roman"/>
                <w:sz w:val="18"/>
              </w:rPr>
            </w:pPr>
            <w:r>
              <w:rPr>
                <w:rFonts w:ascii="Times New Roman" w:hAnsi="Times New Roman"/>
                <w:sz w:val="18"/>
              </w:rPr>
            </w:r>
          </w:p>
        </w:tc>
        <w:tc>
          <w:tcPr>
            <w:tcW w:w="2610" w:type="dxa"/>
            <w:tcBorders/>
          </w:tcPr>
          <w:p>
            <w:pPr>
              <w:pStyle w:val="Normal"/>
              <w:bidi w:val="0"/>
              <w:jc w:val="start"/>
              <w:rPr>
                <w:rFonts w:ascii="Times New Roman" w:hAnsi="Times New Roman"/>
              </w:rPr>
            </w:pPr>
            <w:r>
              <w:rPr>
                <w:rFonts w:ascii="Times New Roman" w:hAnsi="Times New Roman"/>
              </w:rPr>
            </w:r>
          </w:p>
        </w:tc>
      </w:tr>
      <w:tr>
        <w:trPr/>
        <w:tc>
          <w:tcPr>
            <w:tcW w:w="2610" w:type="dxa"/>
            <w:tcBorders/>
          </w:tcPr>
          <w:p>
            <w:pPr>
              <w:pStyle w:val="Heading1"/>
              <w:bidi w:val="0"/>
              <w:jc w:val="start"/>
              <w:rPr>
                <w:rFonts w:ascii="Times New Roman" w:hAnsi="Times New Roman"/>
              </w:rPr>
            </w:pPr>
            <w:r>
              <w:rPr>
                <w:rFonts w:ascii="Times New Roman" w:hAnsi="Times New Roman"/>
              </w:rPr>
            </w:r>
          </w:p>
        </w:tc>
        <w:tc>
          <w:tcPr>
            <w:tcW w:w="2610" w:type="dxa"/>
            <w:tcBorders/>
          </w:tcPr>
          <w:p>
            <w:pPr>
              <w:pStyle w:val="Normal"/>
              <w:bidi w:val="0"/>
              <w:jc w:val="start"/>
              <w:rPr>
                <w:rFonts w:ascii="Times New Roman" w:hAnsi="Times New Roman"/>
                <w:sz w:val="18"/>
              </w:rPr>
            </w:pPr>
            <w:r>
              <w:rPr>
                <w:rFonts w:ascii="Times New Roman" w:hAnsi="Times New Roman"/>
                <w:sz w:val="18"/>
              </w:rPr>
            </w:r>
          </w:p>
        </w:tc>
        <w:tc>
          <w:tcPr>
            <w:tcW w:w="2610" w:type="dxa"/>
            <w:tcBorders/>
          </w:tcPr>
          <w:p>
            <w:pPr>
              <w:pStyle w:val="Normal"/>
              <w:bidi w:val="0"/>
              <w:jc w:val="start"/>
              <w:rPr>
                <w:rFonts w:ascii="Times New Roman" w:hAnsi="Times New Roman"/>
              </w:rPr>
            </w:pPr>
            <w:r>
              <w:rPr>
                <w:rFonts w:ascii="Times New Roman" w:hAnsi="Times New Roman"/>
              </w:rPr>
            </w:r>
          </w:p>
        </w:tc>
      </w:tr>
      <w:tr>
        <w:trPr/>
        <w:tc>
          <w:tcPr>
            <w:tcW w:w="2610" w:type="dxa"/>
            <w:tcBorders/>
          </w:tcPr>
          <w:p>
            <w:pPr>
              <w:pStyle w:val="Normal"/>
              <w:bidi w:val="0"/>
              <w:jc w:val="start"/>
              <w:rPr>
                <w:rFonts w:ascii="Times New Roman" w:hAnsi="Times New Roman"/>
              </w:rPr>
            </w:pPr>
            <w:r>
              <w:rPr>
                <w:rFonts w:ascii="Times New Roman" w:hAnsi="Times New Roman"/>
              </w:rPr>
            </w:r>
          </w:p>
        </w:tc>
        <w:tc>
          <w:tcPr>
            <w:tcW w:w="2610" w:type="dxa"/>
            <w:tcBorders/>
          </w:tcPr>
          <w:p>
            <w:pPr>
              <w:pStyle w:val="Normal"/>
              <w:bidi w:val="0"/>
              <w:jc w:val="both"/>
              <w:rPr>
                <w:rFonts w:ascii="Times New Roman" w:hAnsi="Times New Roman"/>
                <w:sz w:val="24"/>
                <w:u w:val="single"/>
              </w:rPr>
            </w:pPr>
            <w:r>
              <w:rPr>
                <w:rFonts w:ascii="Times New Roman" w:hAnsi="Times New Roman"/>
                <w:sz w:val="24"/>
                <w:u w:val="single"/>
              </w:rPr>
            </w:r>
          </w:p>
        </w:tc>
        <w:tc>
          <w:tcPr>
            <w:tcW w:w="2610" w:type="dxa"/>
            <w:tcBorders/>
          </w:tcPr>
          <w:p>
            <w:pPr>
              <w:pStyle w:val="Normal"/>
              <w:bidi w:val="0"/>
              <w:jc w:val="start"/>
              <w:rPr>
                <w:rFonts w:ascii="Times New Roman" w:hAnsi="Times New Roman"/>
              </w:rPr>
            </w:pPr>
            <w:r>
              <w:rPr>
                <w:rFonts w:ascii="Times New Roman" w:hAnsi="Times New Roman"/>
              </w:rPr>
            </w:r>
          </w:p>
        </w:tc>
      </w:tr>
      <w:tr>
        <w:trPr/>
        <w:tc>
          <w:tcPr>
            <w:tcW w:w="2610" w:type="dxa"/>
            <w:tcBorders/>
          </w:tcPr>
          <w:p>
            <w:pPr>
              <w:pStyle w:val="Normal"/>
              <w:bidi w:val="0"/>
              <w:jc w:val="start"/>
              <w:rPr>
                <w:rFonts w:ascii="Times New Roman" w:hAnsi="Times New Roman"/>
              </w:rPr>
            </w:pPr>
            <w:r>
              <w:rPr>
                <w:rFonts w:ascii="Times New Roman" w:hAnsi="Times New Roman"/>
              </w:rPr>
            </w:r>
          </w:p>
        </w:tc>
        <w:tc>
          <w:tcPr>
            <w:tcW w:w="2610" w:type="dxa"/>
            <w:tcBorders/>
          </w:tcPr>
          <w:p>
            <w:pPr>
              <w:pStyle w:val="Normal"/>
              <w:bidi w:val="0"/>
              <w:jc w:val="both"/>
              <w:rPr>
                <w:rFonts w:ascii="Times New Roman" w:hAnsi="Times New Roman"/>
                <w:sz w:val="24"/>
                <w:u w:val="single"/>
              </w:rPr>
            </w:pPr>
            <w:r>
              <w:rPr>
                <w:rFonts w:ascii="Times New Roman" w:hAnsi="Times New Roman"/>
                <w:sz w:val="24"/>
                <w:u w:val="single"/>
              </w:rPr>
            </w:r>
          </w:p>
        </w:tc>
        <w:tc>
          <w:tcPr>
            <w:tcW w:w="2610" w:type="dxa"/>
            <w:tcBorders/>
          </w:tcPr>
          <w:p>
            <w:pPr>
              <w:pStyle w:val="Normal"/>
              <w:bidi w:val="0"/>
              <w:jc w:val="start"/>
              <w:rPr>
                <w:rFonts w:ascii="Times New Roman" w:hAnsi="Times New Roman"/>
              </w:rPr>
            </w:pPr>
            <w:r>
              <w:rPr>
                <w:rFonts w:ascii="Times New Roman" w:hAnsi="Times New Roman"/>
              </w:rPr>
            </w:r>
          </w:p>
        </w:tc>
      </w:tr>
      <w:tr>
        <w:trPr/>
        <w:tc>
          <w:tcPr>
            <w:tcW w:w="2610" w:type="dxa"/>
            <w:tcBorders/>
          </w:tcPr>
          <w:p>
            <w:pPr>
              <w:pStyle w:val="Heading1"/>
              <w:bidi w:val="0"/>
              <w:jc w:val="start"/>
              <w:rPr>
                <w:rFonts w:ascii="Times New Roman" w:hAnsi="Times New Roman"/>
              </w:rPr>
            </w:pPr>
            <w:r>
              <w:rPr>
                <w:rFonts w:ascii="Times New Roman" w:hAnsi="Times New Roman"/>
              </w:rPr>
            </w:r>
          </w:p>
        </w:tc>
        <w:tc>
          <w:tcPr>
            <w:tcW w:w="2610" w:type="dxa"/>
            <w:tcBorders/>
          </w:tcPr>
          <w:p>
            <w:pPr>
              <w:pStyle w:val="Normal"/>
              <w:bidi w:val="0"/>
              <w:jc w:val="both"/>
              <w:rPr>
                <w:rFonts w:ascii="Times New Roman" w:hAnsi="Times New Roman"/>
                <w:sz w:val="24"/>
                <w:u w:val="single"/>
              </w:rPr>
            </w:pPr>
            <w:r>
              <w:rPr>
                <w:rFonts w:ascii="Times New Roman" w:hAnsi="Times New Roman"/>
                <w:sz w:val="24"/>
                <w:u w:val="single"/>
              </w:rPr>
            </w:r>
          </w:p>
        </w:tc>
        <w:tc>
          <w:tcPr>
            <w:tcW w:w="2610" w:type="dxa"/>
            <w:tcBorders/>
          </w:tcPr>
          <w:p>
            <w:pPr>
              <w:pStyle w:val="Normal"/>
              <w:bidi w:val="0"/>
              <w:jc w:val="start"/>
              <w:rPr>
                <w:rFonts w:ascii="Times New Roman" w:hAnsi="Times New Roman"/>
              </w:rPr>
            </w:pPr>
            <w:r>
              <w:rPr>
                <w:rFonts w:ascii="Times New Roman" w:hAnsi="Times New Roman"/>
              </w:rPr>
            </w:r>
          </w:p>
        </w:tc>
      </w:tr>
      <w:tr>
        <w:trPr/>
        <w:tc>
          <w:tcPr>
            <w:tcW w:w="2610" w:type="dxa"/>
            <w:tcBorders/>
          </w:tcPr>
          <w:p>
            <w:pPr>
              <w:pStyle w:val="Normal"/>
              <w:bidi w:val="0"/>
              <w:jc w:val="start"/>
              <w:rPr>
                <w:rFonts w:ascii="Times New Roman" w:hAnsi="Times New Roman"/>
              </w:rPr>
            </w:pPr>
            <w:r>
              <w:rPr>
                <w:rFonts w:ascii="Times New Roman" w:hAnsi="Times New Roman"/>
              </w:rPr>
            </w:r>
          </w:p>
        </w:tc>
        <w:tc>
          <w:tcPr>
            <w:tcW w:w="2610" w:type="dxa"/>
            <w:tcBorders/>
          </w:tcPr>
          <w:p>
            <w:pPr>
              <w:pStyle w:val="Normal"/>
              <w:bidi w:val="0"/>
              <w:jc w:val="both"/>
              <w:rPr>
                <w:rFonts w:ascii="Times New Roman" w:hAnsi="Times New Roman"/>
                <w:sz w:val="24"/>
                <w:u w:val="single"/>
              </w:rPr>
            </w:pPr>
            <w:r>
              <w:rPr>
                <w:rFonts w:ascii="Times New Roman" w:hAnsi="Times New Roman"/>
                <w:sz w:val="24"/>
                <w:u w:val="single"/>
              </w:rPr>
            </w:r>
          </w:p>
        </w:tc>
        <w:tc>
          <w:tcPr>
            <w:tcW w:w="2610" w:type="dxa"/>
            <w:tcBorders/>
          </w:tcPr>
          <w:p>
            <w:pPr>
              <w:pStyle w:val="Normal"/>
              <w:bidi w:val="0"/>
              <w:jc w:val="start"/>
              <w:rPr>
                <w:rFonts w:ascii="Times New Roman" w:hAnsi="Times New Roman"/>
              </w:rPr>
            </w:pPr>
            <w:r>
              <w:rPr>
                <w:rFonts w:ascii="Times New Roman" w:hAnsi="Times New Roman"/>
              </w:rPr>
            </w:r>
          </w:p>
        </w:tc>
      </w:tr>
      <w:tr>
        <w:trPr/>
        <w:tc>
          <w:tcPr>
            <w:tcW w:w="2610" w:type="dxa"/>
            <w:tcBorders/>
          </w:tcPr>
          <w:p>
            <w:pPr>
              <w:pStyle w:val="Normal"/>
              <w:bidi w:val="0"/>
              <w:jc w:val="both"/>
              <w:rPr>
                <w:rFonts w:ascii="Times New Roman" w:hAnsi="Times New Roman"/>
                <w:sz w:val="24"/>
                <w:u w:val="single"/>
              </w:rPr>
            </w:pPr>
            <w:r>
              <w:rPr>
                <w:rFonts w:ascii="Times New Roman" w:hAnsi="Times New Roman"/>
                <w:sz w:val="24"/>
                <w:u w:val="single"/>
              </w:rPr>
            </w:r>
          </w:p>
        </w:tc>
        <w:tc>
          <w:tcPr>
            <w:tcW w:w="2610" w:type="dxa"/>
            <w:tcBorders/>
          </w:tcPr>
          <w:p>
            <w:pPr>
              <w:pStyle w:val="Normal"/>
              <w:bidi w:val="0"/>
              <w:jc w:val="both"/>
              <w:rPr>
                <w:rFonts w:ascii="Times New Roman" w:hAnsi="Times New Roman"/>
                <w:sz w:val="24"/>
                <w:u w:val="single"/>
              </w:rPr>
            </w:pPr>
            <w:r>
              <w:rPr>
                <w:rFonts w:ascii="Times New Roman" w:hAnsi="Times New Roman"/>
                <w:sz w:val="24"/>
                <w:u w:val="single"/>
              </w:rPr>
            </w:r>
          </w:p>
        </w:tc>
        <w:tc>
          <w:tcPr>
            <w:tcW w:w="2610" w:type="dxa"/>
            <w:tcBorders/>
          </w:tcPr>
          <w:p>
            <w:pPr>
              <w:pStyle w:val="Normal"/>
              <w:bidi w:val="0"/>
              <w:jc w:val="start"/>
              <w:rPr>
                <w:rFonts w:ascii="Times New Roman" w:hAnsi="Times New Roman"/>
              </w:rPr>
            </w:pPr>
            <w:r>
              <w:rPr>
                <w:rFonts w:ascii="Times New Roman" w:hAnsi="Times New Roman"/>
              </w:rPr>
            </w:r>
          </w:p>
        </w:tc>
      </w:tr>
      <w:tr>
        <w:trPr/>
        <w:tc>
          <w:tcPr>
            <w:tcW w:w="2610" w:type="dxa"/>
            <w:tcBorders/>
          </w:tcPr>
          <w:p>
            <w:pPr>
              <w:pStyle w:val="Normal"/>
              <w:tabs>
                <w:tab w:val="clear" w:pos="720"/>
              </w:tabs>
              <w:bidi w:val="0"/>
              <w:jc w:val="both"/>
              <w:rPr>
                <w:rFonts w:ascii="Times New Roman" w:hAnsi="Times New Roman"/>
                <w:sz w:val="24"/>
                <w:u w:val="single"/>
              </w:rPr>
            </w:pPr>
            <w:r>
              <w:rPr>
                <w:rFonts w:ascii="Times New Roman" w:hAnsi="Times New Roman"/>
                <w:sz w:val="24"/>
                <w:u w:val="single"/>
              </w:rPr>
            </w:r>
          </w:p>
        </w:tc>
        <w:tc>
          <w:tcPr>
            <w:tcW w:w="2610" w:type="dxa"/>
            <w:tcBorders/>
          </w:tcPr>
          <w:p>
            <w:pPr>
              <w:pStyle w:val="Normal"/>
              <w:tabs>
                <w:tab w:val="clear" w:pos="720"/>
              </w:tabs>
              <w:bidi w:val="0"/>
              <w:jc w:val="both"/>
              <w:rPr>
                <w:rFonts w:ascii="Times New Roman" w:hAnsi="Times New Roman"/>
                <w:sz w:val="24"/>
                <w:u w:val="single"/>
              </w:rPr>
            </w:pPr>
            <w:r>
              <w:rPr>
                <w:rFonts w:ascii="Times New Roman" w:hAnsi="Times New Roman"/>
                <w:sz w:val="24"/>
                <w:u w:val="single"/>
              </w:rPr>
            </w:r>
          </w:p>
        </w:tc>
        <w:tc>
          <w:tcPr>
            <w:tcW w:w="2610" w:type="dxa"/>
            <w:tcBorders/>
          </w:tcPr>
          <w:p>
            <w:pPr>
              <w:pStyle w:val="Normal"/>
              <w:tabs>
                <w:tab w:val="clear" w:pos="720"/>
              </w:tabs>
              <w:bidi w:val="0"/>
              <w:jc w:val="both"/>
              <w:rPr>
                <w:rFonts w:ascii="Times New Roman" w:hAnsi="Times New Roman"/>
                <w:sz w:val="24"/>
                <w:u w:val="single"/>
              </w:rPr>
            </w:pPr>
            <w:r>
              <w:rPr>
                <w:rFonts w:ascii="Times New Roman" w:hAnsi="Times New Roman"/>
                <w:sz w:val="24"/>
                <w:u w:val="single"/>
              </w:rPr>
            </w:r>
          </w:p>
        </w:tc>
      </w:tr>
    </w:tbl>
    <w:p>
      <w:pPr>
        <w:pStyle w:val="Normal"/>
        <w:bidi w:val="0"/>
        <w:ind w:hanging="90" w:start="90"/>
        <w:jc w:val="both"/>
        <w:rPr>
          <w:rFonts w:ascii="Times New Roman" w:hAnsi="Times New Roman"/>
          <w:sz w:val="24"/>
          <w:u w:val="single"/>
        </w:rPr>
      </w:pPr>
      <w:r>
        <w:rPr>
          <w:rFonts w:ascii="Times New Roman" w:hAnsi="Times New Roman"/>
          <w:sz w:val="24"/>
          <w:u w:val="single"/>
        </w:rPr>
      </w:r>
    </w:p>
    <w:sectPr>
      <w:type w:val="nextPage"/>
      <w:pgSz w:w="12240" w:h="15840"/>
      <w:pgMar w:left="1008" w:right="1008"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Liberation Serif" w:hAnsi="Liberation Serif" w:eastAsia="Liberation Sans" w:cs="NotoSans NF"/>
      <w:color w:val="auto"/>
      <w:kern w:val="2"/>
      <w:sz w:val="20"/>
      <w:szCs w:val="24"/>
      <w:lang w:val="en-CA" w:eastAsia="zh-CN" w:bidi="hi-IN"/>
    </w:rPr>
  </w:style>
  <w:style w:type="paragraph" w:styleId="Heading1">
    <w:name w:val="heading 1"/>
    <w:basedOn w:val="Normal"/>
    <w:next w:val="Normal"/>
    <w:qFormat/>
    <w:pPr>
      <w:keepNext w:val="true"/>
      <w:widowControl w:val="false"/>
      <w:outlineLvl w:val="0"/>
    </w:pPr>
    <w:rPr>
      <w:b/>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LibreOffice/25.2.7.0.0$Linux_X86_64 LibreOffice_project/2cc84caafd2707671cae2773f8085721f003b89f</Application>
  <AppVersion>15.0000</AppVersion>
  <Pages>99</Pages>
  <Words>643</Words>
  <Characters>0</Characters>
  <CharactersWithSpaces>3666</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1999-07-27T08:45:00Z</dcterms:created>
  <dc:creator>OTS</dc:creator>
  <dc:description/>
  <dc:language>en-CA</dc:language>
  <cp:lastModifiedBy/>
  <cp:lastPrinted>1999-08-09T08:08:00Z</cp:lastPrinted>
  <dcterms:modified xsi:type="dcterms:W3CDTF">1999-08-09T08:08:00Z</dcterms:modified>
  <cp:revision>20</cp:revision>
  <dc:subject/>
  <dc:title>ENRON OPERATIONS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Marc Phillips</vt:lpwstr>
  </property>
</Properties>
</file>