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lang w:val="en-US"/>
        </w:rPr>
      </w:pPr>
      <w:r>
        <w:rPr>
          <w:rFonts w:ascii="Times New Roman" w:hAnsi="Times New Roman"/>
          <w:lang w:val="en-US"/>
        </w:rPr>
        <w:t>MEMORANDUM</w:t>
      </w:r>
    </w:p>
    <w:p>
      <w:pPr>
        <w:pStyle w:val="Normal"/>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t>To:</w:t>
        <w:tab/>
        <w:t>Brent Hendry</w:t>
      </w:r>
    </w:p>
    <w:p>
      <w:pPr>
        <w:pStyle w:val="Normal"/>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t>c.c.:</w:t>
        <w:tab/>
        <w:t>Andrea Calo</w:t>
      </w:r>
    </w:p>
    <w:p>
      <w:pPr>
        <w:pStyle w:val="Normal"/>
        <w:bidi w:val="0"/>
        <w:jc w:val="start"/>
        <w:rPr>
          <w:rFonts w:ascii="Times New Roman" w:hAnsi="Times New Roman"/>
          <w:b/>
          <w:lang w:val="en-US"/>
        </w:rPr>
      </w:pPr>
      <w:r>
        <w:rPr>
          <w:rFonts w:ascii="Times New Roman" w:hAnsi="Times New Roman"/>
          <w:b/>
          <w:lang w:val="en-US"/>
        </w:rPr>
        <w:tab/>
        <w:t>Mark Taylor</w:t>
      </w:r>
    </w:p>
    <w:p>
      <w:pPr>
        <w:pStyle w:val="Normal"/>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t>From:</w:t>
        <w:tab/>
        <w:t>Sebastián M. Iribarne</w:t>
      </w:r>
    </w:p>
    <w:p>
      <w:pPr>
        <w:pStyle w:val="Normal"/>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t>Re.:</w:t>
        <w:tab/>
        <w:t>Enron Internet Trading</w:t>
      </w:r>
    </w:p>
    <w:p>
      <w:pPr>
        <w:pStyle w:val="Normal"/>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t>Date:</w:t>
        <w:tab/>
        <w:t>October 18, 2000</w:t>
      </w:r>
    </w:p>
    <w:p>
      <w:pPr>
        <w:pStyle w:val="Normal"/>
        <w:pBdr>
          <w:bottom w:val="single" w:sz="12" w:space="1" w:color="000000"/>
        </w:pBdr>
        <w:bidi w:val="0"/>
        <w:jc w:val="start"/>
        <w:rPr>
          <w:rFonts w:ascii="Times New Roman" w:hAnsi="Times New Roman"/>
          <w:b/>
          <w:lang w:val="en-US"/>
        </w:rPr>
      </w:pPr>
      <w:r>
        <w:rPr>
          <w:rFonts w:ascii="Times New Roman" w:hAnsi="Times New Roman"/>
          <w:b/>
          <w:lang w:val="en-US"/>
        </w:rPr>
      </w:r>
    </w:p>
    <w:p>
      <w:pPr>
        <w:pStyle w:val="Normal"/>
        <w:bidi w:val="0"/>
        <w:jc w:val="start"/>
        <w:rPr>
          <w:rFonts w:ascii="Times New Roman" w:hAnsi="Times New Roman"/>
          <w:b/>
          <w:lang w:val="en-US"/>
        </w:rPr>
      </w:pPr>
      <w:r>
        <w:rPr>
          <w:rFonts w:ascii="Times New Roman" w:hAnsi="Times New Roman"/>
          <w:b/>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Dear Brent,</w:t>
      </w:r>
    </w:p>
    <w:p>
      <w:pPr>
        <w:pStyle w:val="Normal"/>
        <w:bidi w:val="0"/>
        <w:jc w:val="start"/>
        <w:rPr>
          <w:rFonts w:ascii="Times New Roman" w:hAnsi="Times New Roman"/>
          <w:b/>
          <w:lang w:val="en-US"/>
        </w:rPr>
      </w:pPr>
      <w:r>
        <w:rPr>
          <w:rFonts w:ascii="Times New Roman" w:hAnsi="Times New Roman"/>
          <w:b/>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Reference is made to the telephone conversation held with you and Mark Taylor regarding our memorandum dated June 23, 2000.    In that memorandum, we recommended that the Password Agreement (“PA”), the Electronic Trading Agreement (“ETA”) and the General Terms and Conditions (“GTC”) to each product be signed in writing at the beginning of the relationship with each new client, before electronic agreements are entered into.    The main reason for this is to provide Enron with as much written evidence as possible in the event that the on-line agreements are ever disputed in court.</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You have informed us that in all countries where Enron is conducting its on-line business, the ETA and the GTC are entered into on-line by “clicking”, and you have asked whether the same procedure could be followed in the case of Argentina.</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We understand that if this procedure is followed, from an evidence standpoint it may become more difficult for Enron On-line to prove which exactly were the terms and conditions of the ETA and the GTC agreed to with the relevant client.    If the issue was discussed before an Argentine court, the burden of proof would be in head of Enron On-line.</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As mentioned in our previous memorandum, there is virtually no case law to rely upon in connection with trading through the Internet.    Therefore, the more “traditional” evidence elements that can be submitted to a judge, the better the chances will be to prove the existence of on-line transactions and the contractual terms and conditions applicable to them.    However, and since there are no precedents, it is very difficult to determine with precision what would be sufficient evidence and what would not.</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We understand that even if the ETA and the GTC were signed in writing, these evidence issues would still apply to any on-line individual transactions and to any changes to the ETA or the GTC, and therefore the evidence risks would still exist in that connection.    Our previous advice was intended to limit as much as possible the scope of evidence issues related to on-line trading, and to have written evidence that the initial ETA and GTC were executed on behalf of the company by a duly authorized officer.</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Therefore, if at the time the client signs the PA, it also were to sign the ETA and the GTC (maybe as annexes to the PA), we understand that these documents would be free of the evidence issues related to on-line agreements (such as unilateral changes to the agreed terms and conditions, non-existence of clauses, etc.).    On the other hand, if the procedure used by Enron On-line worldwide is followed, such risks could extend to the ETA and the GTC. You have informed us that master agreements are actually signed in written form, and in these cases the GTC are included in such agreement and the GTC in the website do not apply; we believe that in these cases Enron On-line would be in a better position (exclusively from an evidence standpoint) in the event the GTC are challenged before an Argentine court.</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 xml:space="preserve">If Enron On-line feels that it could reasonable prove the safety of the system, the date of access of each customer, the acceptance by “clicking” of the terms of the ETA and GTC, the impossibility of altering the terms and conditions thereof after clicking, etc, then it may not make a substantial difference to sign the ETA and the GTC in writing.    We do not know if the entire procedure has been successfully tested in court abroad (this could actually constitute additional evidence, although how such evidence would be weighed by a local court is impossible to ascertain).    </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In conclusion, we believe that Enron On-line may follow the same procedures it follows abroad, but in that case the uncertainties related to proving the existence and contents of individual on-line transactions would extend to the ETA and the GTC.</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If such procedure is followed, we believe that it will be essential to have a notary public certify the signature of all Argentine counterparts to the PA, certifying the capacity of the person signing on behalf of the Argentine entity.    It could also be advisable to request in each case a certified copy of a Board Resolution where the Board would expressly authorize the entering into the PA in writing, and into the ETA and GTC by clicking (this Board Resolution could also state that the Board has reviewed the PA and the then current forms of ETA and GTC, and that it has taken internal measures to ensure the proper use of the website).</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ab/>
        <w:t>As to your additional questions related to Section 10 of your legal survey, there currently is no comprehensive regulations for over the counter derivative transactions (we refer to over the counter derivatives as those derivatives which are privately negotiated outside regulated markets) under Argentine law, and therefore general provisions of contract law must be applied to each case.    We have sent Andrea Calo a couple of memos describing the few precedents of the Argentine National Securities Commission or “CNV” in connection with on-line trading of derivatives (but these where cases where the CNV deemed that there was “public offering” of securities), and the steps that would have to be followed if the CNV determined that the activity carried out by Enron On-line constituted “public offering”.    Please let us know if you wish us to send you copies of these memos.</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center"/>
        <w:rPr>
          <w:rFonts w:ascii="Times New Roman" w:hAnsi="Times New Roman"/>
          <w:lang w:val="en-US"/>
        </w:rPr>
      </w:pPr>
      <w:r>
        <w:rPr>
          <w:rFonts w:ascii="Times New Roman" w:hAnsi="Times New Roman"/>
          <w:lang w:val="en-US"/>
        </w:rPr>
        <w:t>*</w:t>
        <w:tab/>
        <w:tab/>
        <w:t>*</w:t>
        <w:tab/>
        <w:tab/>
        <w:t>*</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t>Should you have any further questions, please do not hesitate to contact us.</w:t>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Header"/>
        <w:tabs>
          <w:tab w:val="clear" w:pos="4419"/>
          <w:tab w:val="clear" w:pos="8838"/>
        </w:tabs>
        <w:bidi w:val="0"/>
        <w:jc w:val="start"/>
        <w:rPr>
          <w:rFonts w:ascii="Times New Roman" w:hAnsi="Times New Roman"/>
          <w:lang w:val="en-US"/>
        </w:rPr>
      </w:pPr>
      <w:r>
        <w:rPr>
          <w:rFonts w:ascii="Times New Roman" w:hAnsi="Times New Roman"/>
          <w:lang w:val="en-US"/>
        </w:rPr>
      </w:r>
    </w:p>
    <w:p>
      <w:pPr>
        <w:pStyle w:val="Normal"/>
        <w:bidi w:val="0"/>
        <w:jc w:val="start"/>
        <w:rPr>
          <w:rFonts w:ascii="Times New Roman" w:hAnsi="Times New Roman"/>
          <w:b/>
          <w:lang w:val="en-US"/>
        </w:rPr>
      </w:pPr>
      <w:r>
        <w:rPr>
          <w:rFonts w:ascii="Times New Roman" w:hAnsi="Times New Roman"/>
          <w:b/>
          <w:lang w:val="en-US"/>
        </w:rPr>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FILENAME </w:instrText>
      </w:r>
      <w:r>
        <w:rPr>
          <w:sz w:val="12"/>
          <w:rFonts w:ascii="Arial" w:hAnsi="Arial"/>
          <w:lang w:val="en-US"/>
        </w:rPr>
        <w:fldChar w:fldCharType="separate"/>
      </w:r>
      <w:r>
        <w:rPr>
          <w:sz w:val="12"/>
          <w:rFonts w:ascii="Arial" w:hAnsi="Arial"/>
          <w:lang w:val="en-US"/>
        </w:rPr>
        <w:t>o1088182.doc</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t>(</w:t>
      </w:r>
      <w:r>
        <w:rPr>
          <w:rFonts w:ascii="Arial" w:hAnsi="Arial"/>
          <w:sz w:val="12"/>
          <w:lang w:val="en-US"/>
        </w:rPr>
        <w:fldChar w:fldCharType="begin"/>
      </w:r>
      <w:r>
        <w:rPr>
          <w:sz w:val="12"/>
          <w:rFonts w:ascii="Arial" w:hAnsi="Arial"/>
          <w:lang w:val="en-US"/>
        </w:rPr>
        <w:instrText xml:space="preserve"> USERINITIALS </w:instrText>
      </w:r>
      <w:r>
        <w:rPr>
          <w:sz w:val="12"/>
          <w:rFonts w:ascii="Arial" w:hAnsi="Arial"/>
          <w:lang w:val="en-US"/>
        </w:rPr>
        <w:fldChar w:fldCharType="separate"/>
      </w:r>
      <w:r>
        <w:rPr>
          <w:sz w:val="12"/>
          <w:rFonts w:ascii="Arial" w:hAnsi="Arial"/>
          <w:lang w:val="en-US"/>
        </w:rPr>
        <w:t>SMI</w:t>
      </w:r>
      <w:r>
        <w:rPr>
          <w:sz w:val="12"/>
          <w:rFonts w:ascii="Arial" w:hAnsi="Arial"/>
          <w:lang w:val="en-US"/>
        </w:rPr>
        <w:fldChar w:fldCharType="end"/>
      </w:r>
      <w:r>
        <w:rPr>
          <w:rFonts w:ascii="Arial" w:hAnsi="Arial"/>
          <w:sz w:val="12"/>
          <w:lang w:val="en-US"/>
        </w:rPr>
        <w:t xml:space="preserve">) </w:t>
      </w:r>
      <w:r>
        <w:rPr>
          <w:rFonts w:ascii="Arial" w:hAnsi="Arial"/>
          <w:b/>
          <w:sz w:val="12"/>
          <w:lang w:val="en-US"/>
        </w:rPr>
        <w:t>-</w:t>
      </w:r>
      <w:r>
        <w:rPr>
          <w:rFonts w:ascii="Arial" w:hAnsi="Arial"/>
          <w:sz w:val="12"/>
          <w:lang w:val="en-US"/>
        </w:rPr>
        <w:t xml:space="preserve"> </w:t>
      </w:r>
      <w:r>
        <w:rPr>
          <w:rFonts w:ascii="Arial" w:hAnsi="Arial"/>
          <w:sz w:val="12"/>
          <w:lang w:val="en-US"/>
        </w:rPr>
        <w:fldChar w:fldCharType="begin"/>
      </w:r>
      <w:r>
        <w:rPr>
          <w:sz w:val="12"/>
          <w:rFonts w:ascii="Arial" w:hAnsi="Arial"/>
          <w:lang w:val="en-US"/>
        </w:rPr>
        <w:instrText xml:space="preserve"> SAVEDATE \@"d\/M\/yy" </w:instrText>
      </w:r>
      <w:r>
        <w:rPr>
          <w:sz w:val="12"/>
          <w:rFonts w:ascii="Arial" w:hAnsi="Arial"/>
          <w:lang w:val="en-US"/>
        </w:rPr>
        <w:fldChar w:fldCharType="separate"/>
      </w:r>
      <w:r>
        <w:rPr>
          <w:sz w:val="12"/>
          <w:rFonts w:ascii="Arial" w:hAnsi="Arial"/>
          <w:lang w:val="en-US"/>
        </w:rPr>
        <w:t>18/10/00</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SUBJECT </w:instrText>
      </w:r>
      <w:r>
        <w:rPr>
          <w:sz w:val="12"/>
          <w:rFonts w:ascii="Arial" w:hAnsi="Arial"/>
          <w:lang w:val="en-US"/>
        </w:rPr>
        <w:fldChar w:fldCharType="separate"/>
      </w:r>
      <w:r>
        <w:rPr>
          <w:sz w:val="12"/>
          <w:rFonts w:ascii="Arial" w:hAnsi="Arial"/>
          <w:lang w:val="en-US"/>
        </w:rPr>
        <w:t>JEC 59.149</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CA"/>
        </w:rPr>
        <w:fldChar w:fldCharType="begin"/>
      </w:r>
      <w:r>
        <w:rPr>
          <w:sz w:val="12"/>
          <w:rFonts w:ascii="Arial" w:hAnsi="Arial"/>
          <w:lang w:val="en-CA"/>
        </w:rPr>
        <w:instrText xml:space="preserve"> DATE \@"d\/M\/yy" </w:instrText>
      </w:r>
      <w:r>
        <w:rPr>
          <w:sz w:val="12"/>
          <w:rFonts w:ascii="Arial" w:hAnsi="Arial"/>
          <w:lang w:val="en-CA"/>
        </w:rPr>
        <w:fldChar w:fldCharType="separate"/>
      </w:r>
      <w:r>
        <w:rPr>
          <w:sz w:val="12"/>
          <w:rFonts w:ascii="Arial" w:hAnsi="Arial"/>
          <w:lang w:val="en-CA"/>
        </w:rPr>
        <w:t>28/9/25</w:t>
      </w:r>
      <w:r>
        <w:rPr>
          <w:sz w:val="12"/>
          <w:rFonts w:ascii="Arial" w:hAnsi="Arial"/>
          <w:lang w:val="en-CA"/>
        </w:rPr>
        <w:fldChar w:fldCharType="end"/>
      </w:r>
    </w:p>
    <w:p>
      <w:pPr>
        <w:pStyle w:val="Normal"/>
        <w:bidi w:val="0"/>
        <w:jc w:val="start"/>
        <w:rPr>
          <w:rFonts w:ascii="Times New Roman" w:hAnsi="Times New Roman"/>
          <w:lang w:val="en-US"/>
        </w:rPr>
      </w:pPr>
      <w:r>
        <w:rPr>
          <w:rFonts w:ascii="Times New Roman" w:hAnsi="Times New Roman"/>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701" w:footer="737" w:bottom="1701"/>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bidi w:val="0"/>
      <w:ind w:hanging="0" w:start="851" w:end="851"/>
      <w:jc w:val="center"/>
      <w:rPr>
        <w:rFonts w:ascii="Times New Roman" w:hAnsi="Times New Roman"/>
        <w:sz w:val="28"/>
      </w:rPr>
    </w:pPr>
    <w:r>
      <w:rPr>
        <w:rFonts w:ascii="Times New Roman" w:hAnsi="Times New Roman"/>
        <w:b/>
        <w:smallCaps/>
        <w:spacing w:val="10"/>
        <w:sz w:val="28"/>
      </w:rPr>
      <w:t>Marval, O’Farrell &amp; Mairal</w:t>
    </w:r>
  </w:p>
  <w:p>
    <w:pPr>
      <w:pStyle w:val="Header"/>
      <w:bidi w:val="0"/>
      <w:jc w:val="start"/>
      <w:rPr>
        <w:rFonts w:ascii="Times New Roman" w:hAnsi="Times New Roman"/>
      </w:rPr>
    </w:pPr>
    <w:r>
      <w:rPr>
        <w:rFonts w:ascii="Times New Roman" w:hAnsi="Times New Roman"/>
      </w:rPr>
    </w:r>
  </w:p>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bidi w:val="0"/>
      <w:ind w:hanging="0" w:start="851" w:end="851"/>
      <w:jc w:val="center"/>
      <w:rPr>
        <w:rFonts w:ascii="Times New Roman" w:hAnsi="Times New Roman"/>
        <w:sz w:val="28"/>
      </w:rPr>
    </w:pPr>
    <w:r>
      <w:rPr>
        <w:rFonts w:ascii="Times New Roman" w:hAnsi="Times New Roman"/>
        <w:b/>
        <w:smallCaps/>
        <w:spacing w:val="10"/>
        <w:sz w:val="28"/>
      </w:rPr>
      <w:t>Marval, O’Farrell &amp; Mairal</w:t>
    </w:r>
  </w:p>
  <w:p>
    <w:pPr>
      <w:pStyle w:val="Header"/>
      <w:bidi w:val="0"/>
      <w:jc w:val="start"/>
      <w:rPr>
        <w:rFonts w:ascii="Times New Roman" w:hAnsi="Times New Roman"/>
      </w:rPr>
    </w:pPr>
    <w:r>
      <w:rPr>
        <w:rFonts w:ascii="Times New Roman" w:hAnsi="Times New Roman"/>
      </w:rPr>
    </w:r>
  </w:p>
  <w:p>
    <w:pPr>
      <w:pStyle w:val="Header"/>
      <w:bidi w:val="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4"/>
      <w:szCs w:val="24"/>
      <w:lang w:val="es-ES_tradnl"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08"/>
        <w:tab w:val="center" w:pos="4419" w:leader="none"/>
        <w:tab w:val="right" w:pos="8838" w:leader="none"/>
      </w:tabs>
    </w:pPr>
    <w:rPr>
      <w:lang w:val="es-ES_tradnl"/>
    </w:rPr>
  </w:style>
  <w:style w:type="paragraph" w:styleId="Footer">
    <w:name w:val="footer"/>
    <w:basedOn w:val="Normal"/>
    <w:pPr>
      <w:widowControl/>
      <w:tabs>
        <w:tab w:val="clear" w:pos="708"/>
        <w:tab w:val="center" w:pos="4419" w:leader="none"/>
        <w:tab w:val="right" w:pos="8838" w:leader="none"/>
      </w:tabs>
    </w:pPr>
    <w:rPr>
      <w:lang w:val="es-ES_tradnl"/>
    </w:rPr>
  </w:style>
  <w:style w:type="paragraph" w:styleId="Title">
    <w:name w:val="Title"/>
    <w:basedOn w:val="Normal"/>
    <w:qFormat/>
    <w:pPr>
      <w:widowControl/>
      <w:jc w:val="center"/>
    </w:pPr>
    <w:rPr>
      <w:b/>
      <w:lang w:val="es-ES_tradn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821</Words>
  <Characters>5753</Characters>
  <CharactersWithSpaces>4685</CharactersWithSpaces>
  <Company>Marval, O`Farrell &amp; Mairal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2000-10-18T14:42:00Z</dcterms:created>
  <dc:creator>1088</dc:creator>
  <dc:description/>
  <dc:language>en-CA</dc:language>
  <cp:lastModifiedBy/>
  <cp:lastPrinted>2000-10-18T16:51:00Z</cp:lastPrinted>
  <dcterms:modified xsi:type="dcterms:W3CDTF">2000-10-18T17:35:00Z</dcterms:modified>
  <cp:revision>8</cp:revision>
  <dc:subject>JEC 59.149</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1088</vt:lpwstr>
  </property>
</Properties>
</file>