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lang w:val="en-US"/>
        </w:rPr>
      </w:pPr>
      <w:r>
        <w:rPr>
          <w:rFonts w:ascii="Times New Roman" w:hAnsi="Times New Roman"/>
          <w:lang w:val="en-US"/>
        </w:rPr>
        <w:t>MEMORANDUM</w:t>
      </w:r>
    </w:p>
    <w:p>
      <w:pPr>
        <w:pStyle w:val="Normal"/>
        <w:bidi w:val="0"/>
        <w:jc w:val="center"/>
        <w:rPr>
          <w:rFonts w:ascii="Times New Roman" w:hAnsi="Times New Roman"/>
          <w:b/>
          <w:lang w:val="en-US"/>
        </w:rPr>
      </w:pPr>
      <w:r>
        <w:rPr>
          <w:rFonts w:ascii="Times New Roman" w:hAnsi="Times New Roman"/>
          <w:b/>
          <w:lang w:val="en-US"/>
        </w:rPr>
      </w:r>
    </w:p>
    <w:p>
      <w:pPr>
        <w:pStyle w:val="Normal"/>
        <w:bidi w:val="0"/>
        <w:jc w:val="center"/>
        <w:rPr>
          <w:rFonts w:ascii="Times New Roman" w:hAnsi="Times New Roman"/>
          <w:b/>
          <w:lang w:val="en-US"/>
        </w:rPr>
      </w:pPr>
      <w:r>
        <w:rPr>
          <w:rFonts w:ascii="Times New Roman" w:hAnsi="Times New Roman"/>
          <w:b/>
          <w:lang w:val="en-US"/>
        </w:rPr>
      </w:r>
    </w:p>
    <w:p>
      <w:pPr>
        <w:pStyle w:val="Heading1"/>
        <w:bidi w:val="0"/>
        <w:rPr>
          <w:rFonts w:ascii="Times New Roman" w:hAnsi="Times New Roman"/>
          <w:lang w:val="en-US"/>
        </w:rPr>
      </w:pPr>
      <w:r>
        <w:rPr>
          <w:rFonts w:ascii="Times New Roman" w:hAnsi="Times New Roman"/>
          <w:lang w:val="en-US"/>
        </w:rPr>
        <w:t>To:</w:t>
        <w:tab/>
        <w:t>Andrea Calo</w:t>
      </w:r>
    </w:p>
    <w:p>
      <w:pPr>
        <w:pStyle w:val="Normal"/>
        <w:bidi w:val="0"/>
        <w:jc w:val="both"/>
        <w:rPr>
          <w:rFonts w:ascii="Times New Roman" w:hAnsi="Times New Roman"/>
          <w:b/>
          <w:lang w:val="en-US"/>
        </w:rPr>
      </w:pPr>
      <w:r>
        <w:rPr>
          <w:rFonts w:ascii="Times New Roman" w:hAnsi="Times New Roman"/>
          <w:b/>
          <w:lang w:val="en-US"/>
        </w:rPr>
        <w:tab/>
        <w:t>Enron América del Sur S.A.</w:t>
      </w:r>
    </w:p>
    <w:p>
      <w:pPr>
        <w:pStyle w:val="Normal"/>
        <w:bidi w:val="0"/>
        <w:jc w:val="both"/>
        <w:rPr>
          <w:rFonts w:ascii="Times New Roman" w:hAnsi="Times New Roman"/>
          <w:b/>
          <w:lang w:val="en-US"/>
        </w:rPr>
      </w:pPr>
      <w:r>
        <w:rPr>
          <w:rFonts w:ascii="Times New Roman" w:hAnsi="Times New Roman"/>
          <w:b/>
          <w:lang w:val="en-US"/>
        </w:rPr>
      </w:r>
    </w:p>
    <w:p>
      <w:pPr>
        <w:pStyle w:val="Normal"/>
        <w:bidi w:val="0"/>
        <w:jc w:val="both"/>
        <w:rPr>
          <w:rFonts w:ascii="Times New Roman" w:hAnsi="Times New Roman"/>
          <w:b/>
          <w:lang w:val="en-US"/>
        </w:rPr>
      </w:pPr>
      <w:r>
        <w:rPr>
          <w:rFonts w:ascii="Times New Roman" w:hAnsi="Times New Roman"/>
          <w:b/>
          <w:lang w:val="en-US"/>
        </w:rPr>
        <w:t>From: Sebastián M. Iribarne</w:t>
      </w:r>
    </w:p>
    <w:p>
      <w:pPr>
        <w:pStyle w:val="Normal"/>
        <w:bidi w:val="0"/>
        <w:jc w:val="both"/>
        <w:rPr>
          <w:rFonts w:ascii="Times New Roman" w:hAnsi="Times New Roman"/>
          <w:b/>
          <w:lang w:val="en-US"/>
        </w:rPr>
      </w:pPr>
      <w:r>
        <w:rPr>
          <w:rFonts w:ascii="Times New Roman" w:hAnsi="Times New Roman"/>
          <w:b/>
          <w:lang w:val="en-US"/>
        </w:rPr>
      </w:r>
    </w:p>
    <w:p>
      <w:pPr>
        <w:pStyle w:val="Heading1"/>
        <w:bidi w:val="0"/>
        <w:rPr>
          <w:rFonts w:ascii="Times New Roman" w:hAnsi="Times New Roman"/>
          <w:lang w:val="en-US"/>
        </w:rPr>
      </w:pPr>
      <w:r>
        <w:rPr>
          <w:rFonts w:ascii="Times New Roman" w:hAnsi="Times New Roman"/>
          <w:lang w:val="en-US"/>
        </w:rPr>
        <w:t>Date: September 11, 2000</w:t>
      </w:r>
    </w:p>
    <w:p>
      <w:pPr>
        <w:pStyle w:val="Normal"/>
        <w:bidi w:val="0"/>
        <w:jc w:val="both"/>
        <w:rPr>
          <w:rFonts w:ascii="Times New Roman" w:hAnsi="Times New Roman"/>
          <w:b/>
          <w:lang w:val="en-US"/>
        </w:rPr>
      </w:pPr>
      <w:r>
        <w:rPr>
          <w:rFonts w:ascii="Times New Roman" w:hAnsi="Times New Roman"/>
          <w:b/>
          <w:lang w:val="en-US"/>
        </w:rPr>
      </w:r>
    </w:p>
    <w:p>
      <w:pPr>
        <w:pStyle w:val="Heading1"/>
        <w:bidi w:val="0"/>
        <w:rPr>
          <w:rFonts w:ascii="Times New Roman" w:hAnsi="Times New Roman"/>
          <w:lang w:val="en-US"/>
        </w:rPr>
      </w:pPr>
      <w:r>
        <w:rPr>
          <w:rFonts w:ascii="Times New Roman" w:hAnsi="Times New Roman"/>
          <w:lang w:val="en-US"/>
        </w:rPr>
        <w:t>Re.: Enron On-line</w:t>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Reference is made to our telephone conversations of last week where you asked us for a brief description of the supervising powers of the Argentine National Securities Commission (“Comisión Nacional de Valores” or “CNV”), as well as the steps that would have to be followed in the event that (i) the activities carried out by Enron On-line are determined to be included in the definition of “public offering” (please see our memorandum dated June 23, 2000 for a further description of the term “public offering”); and (ii) Enron On-line decided to comply with the relevant CNV regulations to continue its activities.</w:t>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The powers of the CNV are described in Law 17,811 (the “Securities Law”).    Pursuant to Section 7 of the Securities Law, the CNV issues the rules to which all persons that in any capacity intervene in the public offering of securities must submit.    In enforcing these rules, the CNV may: request information and carry out inspections and investigations on the persons and entities subject to its supervision, request the intervention of the police power, and initiate legal proceedings, including criminal proceedings.</w:t>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Pursuant to Section 10 of the Securities Law, all persons and entities that fail to comply with the Securities Law and its further regulations, in addition to any civil or criminal actions that may correspond, shall be subject to the following penalties: (i) warning; (ii) fines; or (iii) suspension for up to two years to make public offering of securities.    These penalties are imposed by the CNV.</w:t>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As indicated in our memorandum dated September 4, 2000, where we briefed you on the few precedents related to futures and options and trading on the Internet, the CNV has thus far only issued warnings ordering the cease of activities it has considered to constitute a public offering in Argentina, sometimes requesting the cooperation of foreign authorities (such as the U.S. Commodity Future Trading Commission) to enforce such warnings.</w:t>
      </w:r>
    </w:p>
    <w:p>
      <w:pPr>
        <w:pStyle w:val="Normal"/>
        <w:bidi w:val="0"/>
        <w:jc w:val="both"/>
        <w:rPr>
          <w:rFonts w:ascii="Times New Roman" w:hAnsi="Times New Roman"/>
          <w:lang w:val="en-US"/>
        </w:rPr>
      </w:pPr>
      <w:r>
        <w:rPr>
          <w:rFonts w:ascii="Times New Roman" w:hAnsi="Times New Roman"/>
          <w:lang w:val="en-US"/>
        </w:rPr>
      </w:r>
    </w:p>
    <w:p>
      <w:pPr>
        <w:pStyle w:val="BodyText"/>
        <w:bidi w:val="0"/>
        <w:rPr>
          <w:rFonts w:ascii="Times New Roman" w:hAnsi="Times New Roman"/>
          <w:lang w:val="en-US"/>
        </w:rPr>
      </w:pPr>
      <w:r>
        <w:rPr>
          <w:rFonts w:ascii="Times New Roman" w:hAnsi="Times New Roman"/>
          <w:lang w:val="en-US"/>
        </w:rPr>
        <w:t>The second issue you raised concerns the steps to be followed if the transactions carried out through Enron On-line were considered to constitute a “public offering” by the CNV, and Enron On-line decided to submit to the CNV regulations to continue its activity.    Please bear in mind that we understand that this hypothesis is remote, since there are good arguments to sustain that such activities (to the extent they are structured as indicated in our memorandum dated June 23, 2000) do not constitute a “public offering” in the terms of the Securities Law.</w:t>
      </w:r>
    </w:p>
    <w:p>
      <w:pPr>
        <w:pStyle w:val="BodyText"/>
        <w:bidi w:val="0"/>
        <w:rPr>
          <w:rFonts w:ascii="Times New Roman" w:hAnsi="Times New Roman"/>
          <w:lang w:val="en-US"/>
        </w:rPr>
      </w:pPr>
      <w:r>
        <w:rPr>
          <w:rFonts w:ascii="Times New Roman" w:hAnsi="Times New Roman"/>
          <w:lang w:val="en-US"/>
        </w:rPr>
      </w:r>
    </w:p>
    <w:p>
      <w:pPr>
        <w:pStyle w:val="BodyText"/>
        <w:bidi w:val="0"/>
        <w:rPr>
          <w:rFonts w:ascii="Times New Roman" w:hAnsi="Times New Roman"/>
          <w:lang w:val="en-US"/>
        </w:rPr>
      </w:pPr>
      <w:r>
        <w:rPr>
          <w:rFonts w:ascii="Times New Roman" w:hAnsi="Times New Roman"/>
          <w:lang w:val="en-US"/>
        </w:rPr>
        <w:t>However, in that unlikely scenario, and pursuant to the Securities Law and CNV rules, the futures and option contracts offered by the various Enron companies would have to be approved by the CNV to be offered in Argentina, and such contracts could only be offered through an authorized market, and transactions would have to be carried out by authorized brokers or dealers.    Since there currently is no authorized market in Argentina to trade gas and electricity futures and options, the CNV would have to authorize a new market, or one of the few existing authorized markets that trade futures and option contracts would have to include gas and electricity as commodities that may be traded therein.</w:t>
      </w:r>
    </w:p>
    <w:p>
      <w:pPr>
        <w:pStyle w:val="BodyText"/>
        <w:bidi w:val="0"/>
        <w:rPr>
          <w:rFonts w:ascii="Times New Roman" w:hAnsi="Times New Roman"/>
          <w:lang w:val="en-US"/>
        </w:rPr>
      </w:pPr>
      <w:r>
        <w:rPr>
          <w:rFonts w:ascii="Times New Roman" w:hAnsi="Times New Roman"/>
          <w:lang w:val="en-US"/>
        </w:rPr>
      </w:r>
    </w:p>
    <w:p>
      <w:pPr>
        <w:pStyle w:val="BodyText"/>
        <w:bidi w:val="0"/>
        <w:rPr>
          <w:rFonts w:ascii="Times New Roman" w:hAnsi="Times New Roman"/>
          <w:lang w:val="en-US"/>
        </w:rPr>
      </w:pPr>
      <w:r>
        <w:rPr>
          <w:rFonts w:ascii="Times New Roman" w:hAnsi="Times New Roman"/>
          <w:lang w:val="en-US"/>
        </w:rPr>
        <w:t>General Resolution 290/97 of the CNV, which is the compendium (</w:t>
      </w:r>
      <w:r>
        <w:rPr>
          <w:rFonts w:ascii="Times New Roman" w:hAnsi="Times New Roman"/>
          <w:i/>
          <w:lang w:val="en-US"/>
        </w:rPr>
        <w:t>texto ordenado</w:t>
      </w:r>
      <w:r>
        <w:rPr>
          <w:rFonts w:ascii="Times New Roman" w:hAnsi="Times New Roman"/>
          <w:lang w:val="en-US"/>
        </w:rPr>
        <w:t xml:space="preserve">) of the CNV rules that govern the securities markets and is updated and amended from time to time, includes a chapter on futures and options (Book IX of CNV Resolution 290/97, as amended).    This chapter includes the requirements that must be complied with in order to be authorized by the CNV to operate as a futures market.    The relevant market must comply with the following, </w:t>
      </w:r>
      <w:r>
        <w:rPr>
          <w:rFonts w:ascii="Times New Roman" w:hAnsi="Times New Roman"/>
          <w:i/>
          <w:lang w:val="en-US"/>
        </w:rPr>
        <w:t>inter alia</w:t>
      </w:r>
      <w:r>
        <w:rPr>
          <w:rFonts w:ascii="Times New Roman" w:hAnsi="Times New Roman"/>
          <w:lang w:val="en-US"/>
        </w:rPr>
        <w:t>:</w:t>
      </w:r>
    </w:p>
    <w:p>
      <w:pPr>
        <w:pStyle w:val="BodyText"/>
        <w:bidi w:val="0"/>
        <w:rPr>
          <w:rFonts w:ascii="Times New Roman" w:hAnsi="Times New Roman"/>
          <w:lang w:val="en-US"/>
        </w:rPr>
      </w:pPr>
      <w:r>
        <w:rPr>
          <w:rFonts w:ascii="Times New Roman" w:hAnsi="Times New Roman"/>
          <w:lang w:val="en-US"/>
        </w:rPr>
      </w:r>
    </w:p>
    <w:p>
      <w:pPr>
        <w:pStyle w:val="BodyText"/>
        <w:bidi w:val="0"/>
        <w:rPr>
          <w:rFonts w:ascii="Times New Roman" w:hAnsi="Times New Roman"/>
          <w:lang w:val="en-US"/>
        </w:rPr>
      </w:pPr>
      <w:r>
        <w:rPr>
          <w:rFonts w:ascii="Times New Roman" w:hAnsi="Times New Roman"/>
          <w:lang w:val="en-US"/>
        </w:rPr>
        <w:t xml:space="preserve">-    Be organized as a corporation, with registered, non-endorseable shares; </w:t>
      </w:r>
    </w:p>
    <w:p>
      <w:pPr>
        <w:pStyle w:val="BodyText"/>
        <w:bidi w:val="0"/>
        <w:rPr>
          <w:rFonts w:ascii="Times New Roman" w:hAnsi="Times New Roman"/>
          <w:lang w:val="en-US"/>
        </w:rPr>
      </w:pPr>
      <w:r>
        <w:rPr>
          <w:rFonts w:ascii="Times New Roman" w:hAnsi="Times New Roman"/>
          <w:lang w:val="en-US"/>
        </w:rPr>
        <w:t>-    Have an adequate management structure to carry out its activities;</w:t>
      </w:r>
    </w:p>
    <w:p>
      <w:pPr>
        <w:pStyle w:val="BodyText"/>
        <w:bidi w:val="0"/>
        <w:rPr>
          <w:rFonts w:ascii="Times New Roman" w:hAnsi="Times New Roman"/>
          <w:lang w:val="en-US"/>
        </w:rPr>
      </w:pPr>
      <w:r>
        <w:rPr>
          <w:rFonts w:ascii="Times New Roman" w:hAnsi="Times New Roman"/>
          <w:lang w:val="en-US"/>
        </w:rPr>
        <w:t xml:space="preserve">- File its by laws with the CNV, together with its internal rules, organizational structure, </w:t>
      </w:r>
    </w:p>
    <w:p>
      <w:pPr>
        <w:pStyle w:val="BodyText"/>
        <w:bidi w:val="0"/>
        <w:rPr>
          <w:rFonts w:ascii="Times New Roman" w:hAnsi="Times New Roman"/>
          <w:lang w:val="en-US"/>
        </w:rPr>
      </w:pPr>
      <w:r>
        <w:rPr>
          <w:rFonts w:ascii="Times New Roman" w:hAnsi="Times New Roman"/>
          <w:lang w:val="en-US"/>
        </w:rPr>
        <w:t xml:space="preserve">      </w:t>
      </w:r>
      <w:r>
        <w:rPr>
          <w:rFonts w:ascii="Times New Roman" w:hAnsi="Times New Roman"/>
          <w:lang w:val="en-US"/>
        </w:rPr>
        <w:t xml:space="preserve">procedures manual, list of officers, etc.; and </w:t>
      </w:r>
    </w:p>
    <w:p>
      <w:pPr>
        <w:pStyle w:val="BodyText"/>
        <w:bidi w:val="0"/>
        <w:rPr>
          <w:rFonts w:ascii="Times New Roman" w:hAnsi="Times New Roman"/>
          <w:lang w:val="en-US"/>
        </w:rPr>
      </w:pPr>
      <w:r>
        <w:rPr>
          <w:rFonts w:ascii="Times New Roman" w:hAnsi="Times New Roman"/>
          <w:lang w:val="en-US"/>
        </w:rPr>
        <w:t>-    Have a net worth of at least Pesos 500,000.</w:t>
      </w:r>
    </w:p>
    <w:p>
      <w:pPr>
        <w:pStyle w:val="BodyText"/>
        <w:bidi w:val="0"/>
        <w:rPr>
          <w:rFonts w:ascii="Times New Roman" w:hAnsi="Times New Roman"/>
          <w:lang w:val="en-US"/>
        </w:rPr>
      </w:pPr>
      <w:r>
        <w:rPr>
          <w:rFonts w:ascii="Times New Roman" w:hAnsi="Times New Roman"/>
          <w:lang w:val="en-US"/>
        </w:rPr>
      </w:r>
    </w:p>
    <w:p>
      <w:pPr>
        <w:pStyle w:val="BodyText"/>
        <w:bidi w:val="0"/>
        <w:rPr>
          <w:rFonts w:ascii="Times New Roman" w:hAnsi="Times New Roman"/>
          <w:lang w:val="en-US"/>
        </w:rPr>
      </w:pPr>
      <w:r>
        <w:rPr>
          <w:rFonts w:ascii="Times New Roman" w:hAnsi="Times New Roman"/>
          <w:lang w:val="en-US"/>
        </w:rPr>
        <w:t xml:space="preserve">Authorized markets must dictate rules to ensure the normal negotiation of futures and options, including the persons authorized to negotiate futures and options, mechanisms to be followed for trading, carry a register of the transactions, etc.    </w:t>
      </w:r>
    </w:p>
    <w:p>
      <w:pPr>
        <w:pStyle w:val="BodyText"/>
        <w:bidi w:val="0"/>
        <w:rPr>
          <w:rFonts w:ascii="Times New Roman" w:hAnsi="Times New Roman"/>
          <w:lang w:val="en-US"/>
        </w:rPr>
      </w:pPr>
      <w:r>
        <w:rPr>
          <w:rFonts w:ascii="Times New Roman" w:hAnsi="Times New Roman"/>
          <w:lang w:val="en-US"/>
        </w:rPr>
      </w:r>
    </w:p>
    <w:p>
      <w:pPr>
        <w:pStyle w:val="BodyText"/>
        <w:bidi w:val="0"/>
        <w:rPr>
          <w:rFonts w:ascii="Times New Roman" w:hAnsi="Times New Roman"/>
          <w:lang w:val="en-US"/>
        </w:rPr>
      </w:pPr>
      <w:r>
        <w:rPr>
          <w:rFonts w:ascii="Times New Roman" w:hAnsi="Times New Roman"/>
          <w:lang w:val="en-US"/>
        </w:rPr>
        <w:t>This section of Resolution 290/97 also includes the requirements that each authorized market must impose on the agents that will operate therein. If Enron On-line were to be an authorized dealer for these contracts, it would have to establish a permanent establishment in Argentina and meet any requirements imposed by the relevant authorized market.</w:t>
      </w:r>
    </w:p>
    <w:p>
      <w:pPr>
        <w:pStyle w:val="BodyText"/>
        <w:bidi w:val="0"/>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As you can see, if the activities carried out by Enron On-line were deemed to constitute a public offering, the hurdles to be able to continue these activities within the public offering regime are many and some are unclear, since there is currently no organized futures and options market related to gas and electricity.    In addition, even if the futures and options contracts with the various Enron entities met all local requirements to be publicly offered, they would have to be offered in an authorized market and transactions would have to be carried out through authorized agents or dealers.</w:t>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Therefore, we understand that the activities    carried out by Enron On-line should be structured in such away to be as far away as possible from the definition of “public offering” included in the Securities Law.    As mentioned in our memorandum of June 23, 2000, it can be reasonably be maintained that customized derivative transactions which are specially structured to meet a client’s requirements, are not within scope of public offerings regulation since such agreements are neither issued in series nor offered to the public at large or a group of persons, provided always that no mass media advertising is involved.</w:t>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We will be glad to review with you all intended marketing activities to be carried out by Enron On-line with its clients in order to be sure that such activities do not create any risks from the Securities Law standpoint.</w:t>
      </w:r>
    </w:p>
    <w:p>
      <w:pPr>
        <w:pStyle w:val="Normal"/>
        <w:bidi w:val="0"/>
        <w:jc w:val="both"/>
        <w:rPr>
          <w:rFonts w:ascii="Times New Roman" w:hAnsi="Times New Roman"/>
          <w:lang w:val="en-US"/>
        </w:rPr>
      </w:pPr>
      <w:r>
        <w:rPr>
          <w:rFonts w:ascii="Times New Roman" w:hAnsi="Times New Roman"/>
          <w:lang w:val="en-US"/>
        </w:rPr>
      </w:r>
    </w:p>
    <w:p>
      <w:pPr>
        <w:pStyle w:val="Normal"/>
        <w:bidi w:val="0"/>
        <w:jc w:val="center"/>
        <w:rPr>
          <w:rFonts w:ascii="Times New Roman" w:hAnsi="Times New Roman"/>
          <w:lang w:val="en-US"/>
        </w:rPr>
      </w:pPr>
      <w:r>
        <w:rPr>
          <w:rFonts w:ascii="Times New Roman" w:hAnsi="Times New Roman"/>
          <w:lang w:val="en-US"/>
        </w:rPr>
        <w:t>*</w:t>
        <w:tab/>
        <w:tab/>
        <w:t>*</w:t>
        <w:tab/>
        <w:tab/>
        <w:t>*</w:t>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Should you have any further questions, please do not hesitate to contact us.</w:t>
      </w:r>
    </w:p>
    <w:p>
      <w:pPr>
        <w:pStyle w:val="Normal"/>
        <w:bidi w:val="0"/>
        <w:jc w:val="both"/>
        <w:rPr>
          <w:rFonts w:ascii="Times New Roman" w:hAnsi="Times New Roman"/>
          <w:lang w:val="en-US"/>
        </w:rPr>
      </w:pPr>
      <w:r>
        <w:rPr>
          <w:rFonts w:ascii="Times New Roman" w:hAnsi="Times New Roman"/>
          <w:lang w:val="en-US"/>
        </w:rPr>
      </w:r>
    </w:p>
    <w:p>
      <w:pPr>
        <w:pStyle w:val="Normal"/>
        <w:bidi w:val="0"/>
        <w:jc w:val="center"/>
        <w:rPr>
          <w:rFonts w:ascii="Times New Roman" w:hAnsi="Times New Roman"/>
          <w:lang w:val="en-US"/>
        </w:rPr>
      </w:pPr>
      <w:r>
        <w:rPr>
          <w:rFonts w:ascii="Times New Roman" w:hAnsi="Times New Roman"/>
          <w:lang w:val="en-US"/>
        </w:rPr>
      </w:r>
    </w:p>
    <w:p>
      <w:pPr>
        <w:pStyle w:val="Normal"/>
        <w:pBdr/>
        <w:bidi w:val="0"/>
        <w:jc w:val="start"/>
        <w:rPr>
          <w:rFonts w:ascii="Arial" w:hAnsi="Arial"/>
          <w:sz w:val="12"/>
          <w:lang w:val="en-US"/>
        </w:rPr>
        <w:framePr w:w="1035" w:h="787" w:x="425" w:y="13393" w:hSpace="142" w:vSpace="0" w:wrap="notBeside" w:vAnchor="page" w:hAnchor="page" w:hRule="exact"/>
      </w:pPr>
      <w:r>
        <w:rPr>
          <w:rFonts w:ascii="Arial" w:hAnsi="Arial"/>
          <w:sz w:val="12"/>
          <w:lang w:val="en-US"/>
        </w:rPr>
        <w:fldChar w:fldCharType="begin"/>
      </w:r>
      <w:r>
        <w:rPr>
          <w:sz w:val="12"/>
          <w:rFonts w:ascii="Arial" w:hAnsi="Arial"/>
          <w:lang w:val="en-US"/>
        </w:rPr>
        <w:instrText xml:space="preserve"> FILENAME </w:instrText>
      </w:r>
      <w:r>
        <w:rPr>
          <w:sz w:val="12"/>
          <w:rFonts w:ascii="Arial" w:hAnsi="Arial"/>
          <w:lang w:val="en-US"/>
        </w:rPr>
        <w:fldChar w:fldCharType="separate"/>
      </w:r>
      <w:r>
        <w:rPr>
          <w:sz w:val="12"/>
          <w:rFonts w:ascii="Arial" w:hAnsi="Arial"/>
          <w:lang w:val="en-US"/>
        </w:rPr>
        <w:t>o1088180.doc</w:t>
      </w:r>
      <w:r>
        <w:rPr>
          <w:sz w:val="12"/>
          <w:rFonts w:ascii="Arial" w:hAnsi="Arial"/>
          <w:lang w:val="en-US"/>
        </w:rPr>
        <w:fldChar w:fldCharType="end"/>
      </w:r>
    </w:p>
    <w:p>
      <w:pPr>
        <w:pStyle w:val="Normal"/>
        <w:pBdr/>
        <w:bidi w:val="0"/>
        <w:jc w:val="start"/>
        <w:rPr>
          <w:rFonts w:ascii="Arial" w:hAnsi="Arial"/>
          <w:sz w:val="12"/>
          <w:lang w:val="en-US"/>
        </w:rPr>
        <w:framePr w:w="1035" w:h="787" w:x="425" w:y="13393" w:hSpace="142" w:vSpace="0" w:wrap="notBeside" w:vAnchor="page" w:hAnchor="page" w:hRule="exact"/>
      </w:pPr>
      <w:r>
        <w:rPr>
          <w:rFonts w:ascii="Arial" w:hAnsi="Arial"/>
          <w:sz w:val="12"/>
          <w:lang w:val="en-US"/>
        </w:rPr>
        <w:t>(</w:t>
      </w:r>
      <w:r>
        <w:rPr>
          <w:rFonts w:ascii="Arial" w:hAnsi="Arial"/>
          <w:sz w:val="12"/>
          <w:lang w:val="en-US"/>
        </w:rPr>
        <w:fldChar w:fldCharType="begin"/>
      </w:r>
      <w:r>
        <w:rPr>
          <w:sz w:val="12"/>
          <w:rFonts w:ascii="Arial" w:hAnsi="Arial"/>
          <w:lang w:val="en-US"/>
        </w:rPr>
        <w:instrText xml:space="preserve"> USERINITIALS </w:instrText>
      </w:r>
      <w:r>
        <w:rPr>
          <w:sz w:val="12"/>
          <w:rFonts w:ascii="Arial" w:hAnsi="Arial"/>
          <w:lang w:val="en-US"/>
        </w:rPr>
        <w:fldChar w:fldCharType="separate"/>
      </w:r>
      <w:r>
        <w:rPr>
          <w:sz w:val="12"/>
          <w:rFonts w:ascii="Arial" w:hAnsi="Arial"/>
          <w:lang w:val="en-US"/>
        </w:rPr>
        <w:t>SMI</w:t>
      </w:r>
      <w:r>
        <w:rPr>
          <w:sz w:val="12"/>
          <w:rFonts w:ascii="Arial" w:hAnsi="Arial"/>
          <w:lang w:val="en-US"/>
        </w:rPr>
        <w:fldChar w:fldCharType="end"/>
      </w:r>
      <w:r>
        <w:rPr>
          <w:rFonts w:ascii="Arial" w:hAnsi="Arial"/>
          <w:sz w:val="12"/>
          <w:lang w:val="en-US"/>
        </w:rPr>
        <w:t xml:space="preserve">) </w:t>
      </w:r>
      <w:r>
        <w:rPr>
          <w:rFonts w:ascii="Arial" w:hAnsi="Arial"/>
          <w:b/>
          <w:sz w:val="12"/>
          <w:lang w:val="en-US"/>
        </w:rPr>
        <w:t>-</w:t>
      </w:r>
      <w:r>
        <w:rPr>
          <w:rFonts w:ascii="Arial" w:hAnsi="Arial"/>
          <w:sz w:val="12"/>
          <w:lang w:val="en-US"/>
        </w:rPr>
        <w:t xml:space="preserve"> </w:t>
      </w:r>
      <w:r>
        <w:rPr>
          <w:rFonts w:ascii="Arial" w:hAnsi="Arial"/>
          <w:sz w:val="12"/>
          <w:lang w:val="en-US"/>
        </w:rPr>
        <w:fldChar w:fldCharType="begin"/>
      </w:r>
      <w:r>
        <w:rPr>
          <w:sz w:val="12"/>
          <w:rFonts w:ascii="Arial" w:hAnsi="Arial"/>
          <w:lang w:val="en-US"/>
        </w:rPr>
        <w:instrText xml:space="preserve"> SAVEDATE \@"d\/M\/yy" </w:instrText>
      </w:r>
      <w:r>
        <w:rPr>
          <w:sz w:val="12"/>
          <w:rFonts w:ascii="Arial" w:hAnsi="Arial"/>
          <w:lang w:val="en-US"/>
        </w:rPr>
        <w:fldChar w:fldCharType="separate"/>
      </w:r>
      <w:r>
        <w:rPr>
          <w:sz w:val="12"/>
          <w:rFonts w:ascii="Arial" w:hAnsi="Arial"/>
          <w:lang w:val="en-US"/>
        </w:rPr>
        <w:t>11/9/00</w:t>
      </w:r>
      <w:r>
        <w:rPr>
          <w:sz w:val="12"/>
          <w:rFonts w:ascii="Arial" w:hAnsi="Arial"/>
          <w:lang w:val="en-US"/>
        </w:rPr>
        <w:fldChar w:fldCharType="end"/>
      </w:r>
    </w:p>
    <w:p>
      <w:pPr>
        <w:pStyle w:val="Normal"/>
        <w:pBdr/>
        <w:bidi w:val="0"/>
        <w:jc w:val="start"/>
        <w:rPr>
          <w:rFonts w:ascii="Arial" w:hAnsi="Arial"/>
          <w:sz w:val="12"/>
          <w:lang w:val="en-US"/>
        </w:rPr>
        <w:framePr w:w="1035" w:h="787" w:x="425" w:y="13393" w:hSpace="142" w:vSpace="0" w:wrap="notBeside" w:vAnchor="page" w:hAnchor="page" w:hRule="exact"/>
      </w:pPr>
      <w:r>
        <w:rPr>
          <w:rFonts w:ascii="Arial" w:hAnsi="Arial"/>
          <w:sz w:val="12"/>
          <w:lang w:val="en-US"/>
        </w:rPr>
        <w:fldChar w:fldCharType="begin"/>
      </w:r>
      <w:r>
        <w:rPr>
          <w:sz w:val="12"/>
          <w:rFonts w:ascii="Arial" w:hAnsi="Arial"/>
          <w:lang w:val="en-US"/>
        </w:rPr>
        <w:instrText xml:space="preserve"> SUBJECT </w:instrText>
      </w:r>
      <w:r>
        <w:rPr>
          <w:sz w:val="12"/>
          <w:rFonts w:ascii="Arial" w:hAnsi="Arial"/>
          <w:lang w:val="en-US"/>
        </w:rPr>
        <w:fldChar w:fldCharType="separate"/>
      </w:r>
      <w:r>
        <w:rPr>
          <w:sz w:val="12"/>
          <w:rFonts w:ascii="Arial" w:hAnsi="Arial"/>
          <w:lang w:val="en-US"/>
        </w:rPr>
        <w:t>JEC 59.149</w:t>
      </w:r>
      <w:r>
        <w:rPr>
          <w:sz w:val="12"/>
          <w:rFonts w:ascii="Arial" w:hAnsi="Arial"/>
          <w:lang w:val="en-US"/>
        </w:rPr>
        <w:fldChar w:fldCharType="end"/>
      </w:r>
    </w:p>
    <w:p>
      <w:pPr>
        <w:pStyle w:val="Normal"/>
        <w:pBdr/>
        <w:bidi w:val="0"/>
        <w:jc w:val="start"/>
        <w:rPr>
          <w:rFonts w:ascii="Arial" w:hAnsi="Arial"/>
          <w:sz w:val="12"/>
          <w:lang w:val="en-US"/>
        </w:rPr>
        <w:framePr w:w="1035" w:h="787" w:x="425" w:y="13393" w:hSpace="142" w:vSpace="0" w:wrap="notBeside" w:vAnchor="page" w:hAnchor="page" w:hRule="exact"/>
      </w:pPr>
      <w:r>
        <w:rPr>
          <w:rFonts w:ascii="Arial" w:hAnsi="Arial"/>
          <w:sz w:val="12"/>
          <w:lang w:val="en-US"/>
        </w:rPr>
        <w:fldChar w:fldCharType="begin"/>
      </w:r>
      <w:r>
        <w:rPr>
          <w:sz w:val="12"/>
          <w:rFonts w:ascii="Arial" w:hAnsi="Arial"/>
          <w:lang w:val="en-US"/>
        </w:rPr>
        <w:instrText xml:space="preserve"> DATE \@"d\/M\/yy" </w:instrText>
      </w:r>
      <w:r>
        <w:rPr>
          <w:sz w:val="12"/>
          <w:rFonts w:ascii="Arial" w:hAnsi="Arial"/>
          <w:lang w:val="en-US"/>
        </w:rPr>
        <w:fldChar w:fldCharType="separate"/>
      </w:r>
      <w:r>
        <w:rPr>
          <w:sz w:val="12"/>
          <w:rFonts w:ascii="Arial" w:hAnsi="Arial"/>
          <w:lang w:val="en-US"/>
        </w:rPr>
        <w:t>28/9/25</w:t>
      </w:r>
      <w:r>
        <w:rPr>
          <w:sz w:val="12"/>
          <w:rFonts w:ascii="Arial" w:hAnsi="Arial"/>
          <w:lang w:val="en-US"/>
        </w:rPr>
        <w:fldChar w:fldCharType="end"/>
      </w:r>
    </w:p>
    <w:p>
      <w:pPr>
        <w:pStyle w:val="Normal"/>
        <w:bidi w:val="0"/>
        <w:jc w:val="both"/>
        <w:rPr>
          <w:rFonts w:ascii="Times New Roman" w:hAnsi="Times New Roman"/>
          <w:lang w:val="en-US"/>
        </w:rPr>
      </w:pPr>
      <w:r>
        <w:rPr>
          <w:rFonts w:ascii="Times New Roman" w:hAnsi="Times New Roman"/>
          <w:lang w:val="en-US"/>
        </w:rPr>
      </w:r>
    </w:p>
    <w:sectPr>
      <w:type w:val="nextPage"/>
      <w:pgSz w:w="12240" w:h="15840"/>
      <w:pgMar w:left="1701" w:right="1701" w:gutter="0" w:header="0" w:top="1417" w:footer="0" w:bottom="1417"/>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08"/>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4"/>
      <w:szCs w:val="24"/>
      <w:lang w:val="es-ES_tradnl" w:eastAsia="zh-CN" w:bidi="hi-IN"/>
    </w:rPr>
  </w:style>
  <w:style w:type="paragraph" w:styleId="Heading1">
    <w:name w:val="heading 1"/>
    <w:basedOn w:val="Normal"/>
    <w:next w:val="Normal"/>
    <w:qFormat/>
    <w:pPr>
      <w:keepNext w:val="true"/>
      <w:widowControl/>
      <w:jc w:val="both"/>
      <w:outlineLvl w:val="0"/>
    </w:pPr>
    <w:rPr>
      <w:b/>
      <w:lang w:val="es-ES_tradnl"/>
    </w:rPr>
  </w:style>
  <w:style w:type="paragraph" w:styleId="Heading2">
    <w:name w:val="heading 2"/>
    <w:basedOn w:val="Normal"/>
    <w:next w:val="Normal"/>
    <w:qFormat/>
    <w:pPr>
      <w:keepNext w:val="true"/>
      <w:widowControl/>
      <w:spacing w:before="240" w:after="60"/>
    </w:pPr>
    <w:rPr>
      <w:rFonts w:ascii="Arial" w:hAnsi="Arial"/>
      <w:b/>
      <w:i/>
      <w:lang w:val="es-ES_tradn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lang w:val="es-ES_tradn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jc w:val="center"/>
    </w:pPr>
    <w:rPr>
      <w:b/>
      <w:lang w:val="es-ES_tradn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800</Words>
  <Characters>0</Characters>
  <CharactersWithSpaces>4563</CharactersWithSpaces>
  <Company>Marval, O`Farrell &amp; Mairal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2000-09-11T10:25:00Z</dcterms:created>
  <dc:creator>1088</dc:creator>
  <dc:description/>
  <dc:language>en-CA</dc:language>
  <cp:lastModifiedBy/>
  <cp:lastPrinted>2000-09-11T15:02:00Z</cp:lastPrinted>
  <dcterms:modified xsi:type="dcterms:W3CDTF">2000-09-11T16:51:00Z</dcterms:modified>
  <cp:revision>20</cp:revision>
  <dc:subject>JEC 59.149</dc:subject>
  <dc:title>MEMORANDUM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1088</vt:lpwstr>
  </property>
</Properties>
</file>