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end="0"/>
        <w:rPr/>
      </w:pPr>
      <w:r>
        <w:rPr/>
      </w:r>
      <w:r>
        <w:rPr>
          <w:sz w:val="24"/>
        </w:rPr>
        <w:tab/>
        <w:tab/>
        <w:tab/>
        <w:tab/>
        <w:tab/>
        <w:t>PRIVILEGED AND CONFIDENTIAL</w:t>
      </w:r>
    </w:p>
    <w:p>
      <w:pPr>
        <w:pStyle w:val="Normal"/>
        <w:widowControl/>
        <w:rPr>
          <w:sz w:val="24"/>
        </w:rPr>
      </w:pPr>
      <w:r>
        <w:rPr>
          <w:sz w:val="24"/>
        </w:rPr>
      </w:r>
    </w:p>
    <w:p>
      <w:pPr>
        <w:pStyle w:val="Normal"/>
        <w:widowControl/>
        <w:rPr>
          <w:sz w:val="24"/>
        </w:rPr>
      </w:pPr>
      <w:r>
        <w:rPr>
          <w:sz w:val="24"/>
        </w:rPr>
        <w:t>Draft Press Release (revised)</w:t>
      </w:r>
    </w:p>
    <w:p>
      <w:pPr>
        <w:pStyle w:val="Normal"/>
        <w:widowControl/>
        <w:rPr>
          <w:sz w:val="24"/>
        </w:rPr>
      </w:pPr>
      <w:r>
        <w:rPr>
          <w:sz w:val="24"/>
        </w:rPr>
      </w:r>
    </w:p>
    <w:p>
      <w:pPr>
        <w:pStyle w:val="Normal"/>
        <w:widowControl/>
        <w:rPr>
          <w:sz w:val="24"/>
        </w:rPr>
      </w:pPr>
      <w:r>
        <w:rPr>
          <w:sz w:val="24"/>
        </w:rPr>
        <w:tab/>
        <w:tab/>
        <w:tab/>
        <w:tab/>
        <w:tab/>
        <w:tab/>
        <w:tab/>
        <w:t>Mark Palmer</w:t>
      </w:r>
    </w:p>
    <w:p>
      <w:pPr>
        <w:pStyle w:val="Normal"/>
        <w:widowControl/>
        <w:rPr>
          <w:sz w:val="24"/>
        </w:rPr>
      </w:pPr>
      <w:r>
        <w:rPr>
          <w:sz w:val="24"/>
        </w:rPr>
        <w:tab/>
        <w:tab/>
        <w:tab/>
        <w:tab/>
        <w:tab/>
        <w:tab/>
        <w:tab/>
        <w:t>(713) 853-4738</w:t>
      </w:r>
    </w:p>
    <w:p>
      <w:pPr>
        <w:pStyle w:val="Normal"/>
        <w:widowControl/>
        <w:rPr>
          <w:sz w:val="24"/>
        </w:rPr>
      </w:pPr>
      <w:r>
        <w:rPr>
          <w:sz w:val="24"/>
        </w:rPr>
      </w:r>
    </w:p>
    <w:p>
      <w:pPr>
        <w:pStyle w:val="Normal"/>
        <w:widowControl/>
        <w:rPr>
          <w:sz w:val="24"/>
        </w:rPr>
      </w:pPr>
      <w:r>
        <w:rPr>
          <w:sz w:val="24"/>
        </w:rPr>
        <w:t>[No headline]</w:t>
      </w:r>
    </w:p>
    <w:p>
      <w:pPr>
        <w:pStyle w:val="Normal"/>
        <w:widowControl/>
        <w:rPr>
          <w:sz w:val="24"/>
        </w:rPr>
      </w:pPr>
      <w:r>
        <w:rPr>
          <w:sz w:val="24"/>
        </w:rPr>
      </w:r>
    </w:p>
    <w:p>
      <w:pPr>
        <w:pStyle w:val="Normal"/>
        <w:widowControl/>
        <w:rPr>
          <w:sz w:val="24"/>
        </w:rPr>
      </w:pPr>
      <w:r>
        <w:rPr>
          <w:sz w:val="24"/>
        </w:rPr>
        <w:t>FOR IMMEDIATE RELEASE: Monday, Nov. 19, 2001</w:t>
      </w:r>
    </w:p>
    <w:p>
      <w:pPr>
        <w:pStyle w:val="Normal"/>
        <w:widowControl/>
        <w:rPr>
          <w:sz w:val="24"/>
        </w:rPr>
      </w:pPr>
      <w:r>
        <w:rPr>
          <w:sz w:val="24"/>
        </w:rPr>
      </w:r>
    </w:p>
    <w:p>
      <w:pPr>
        <w:pStyle w:val="Normal"/>
        <w:widowControl/>
        <w:rPr/>
      </w:pPr>
      <w:r>
        <w:rPr>
          <w:b/>
          <w:sz w:val="24"/>
        </w:rPr>
        <w:tab/>
        <w:t>HOUSTON</w:t>
      </w:r>
      <w:r>
        <w:rPr>
          <w:sz w:val="24"/>
        </w:rPr>
        <w:t xml:space="preserve"> - Enron Corp. (NYSE: ENE) announced today that is has filed with the Securities and Exchange Commission a Quarterly Report on Form 10-Q for the quarterly period ended September 30, 2001.  Enron notified the SEC last week that the report would be five days late as a result of recent events.</w:t>
      </w:r>
    </w:p>
    <w:p>
      <w:pPr>
        <w:pStyle w:val="Normal"/>
        <w:widowControl/>
        <w:rPr>
          <w:sz w:val="24"/>
        </w:rPr>
      </w:pPr>
      <w:r>
        <w:rPr>
          <w:sz w:val="24"/>
        </w:rPr>
      </w:r>
    </w:p>
    <w:p>
      <w:pPr>
        <w:pStyle w:val="Normal"/>
        <w:widowControl/>
        <w:rPr>
          <w:sz w:val="24"/>
        </w:rPr>
      </w:pPr>
      <w:r>
        <w:rPr>
          <w:sz w:val="24"/>
        </w:rPr>
        <w:tab/>
        <w:t>Based on information currently available to it, management believes that the results of operations set forth in the report were compiled in accordance with generally accepted accounting principles and fairly depict the financial condition of Enron, and include adjustments designed to capture the anticipated restatements previously disclosed.  The Company noted that information gathered in the course of the current investigation and review by a Special Committee of Enron's Board with respect to transactions between the Company and certain related parties may impact the unaudited [results/information?] set forth in the report, although management is not aware of any further adjustments that would be required.  The Company also noted that in light of the pending Special Committee review and the consequent need for the Company's auditors do additional procedures of its own, the report has been prepared without the normal required review of Enron's consolidated financial statements by Andersen LLP, Enron's independent auditors.  The Company expects to file a final report upon completion of these processes.</w:t>
      </w:r>
    </w:p>
    <w:p>
      <w:pPr>
        <w:pStyle w:val="Normal"/>
        <w:widowControl/>
        <w:rPr>
          <w:sz w:val="24"/>
        </w:rPr>
      </w:pPr>
      <w:r>
        <w:rPr>
          <w:sz w:val="24"/>
        </w:rPr>
      </w:r>
    </w:p>
    <w:p>
      <w:pPr>
        <w:pStyle w:val="Normal"/>
        <w:widowControl/>
        <w:rPr>
          <w:sz w:val="24"/>
        </w:rPr>
      </w:pPr>
      <w:r>
        <w:rPr>
          <w:sz w:val="24"/>
        </w:rPr>
        <w:tab/>
        <w:t>[Keep paragraph containing statement by Bill Powers]</w:t>
      </w:r>
    </w:p>
    <w:p>
      <w:pPr>
        <w:pStyle w:val="Normal"/>
        <w:widowControl/>
        <w:rPr>
          <w:sz w:val="24"/>
        </w:rPr>
      </w:pPr>
      <w:r>
        <w:rPr>
          <w:sz w:val="24"/>
        </w:rPr>
      </w:r>
    </w:p>
    <w:p>
      <w:pPr>
        <w:pStyle w:val="Normal"/>
        <w:widowControl/>
        <w:rPr>
          <w:sz w:val="24"/>
        </w:rPr>
      </w:pPr>
      <w:r>
        <w:rPr>
          <w:sz w:val="24"/>
        </w:rPr>
        <w:tab/>
        <w:t>[Keep paragraph containing description of Enron]</w:t>
      </w:r>
    </w:p>
    <w:p>
      <w:pPr>
        <w:pStyle w:val="Normal"/>
        <w:widowControl/>
        <w:rPr>
          <w:sz w:val="24"/>
        </w:rPr>
      </w:pPr>
      <w:r>
        <w:rPr>
          <w:sz w:val="24"/>
        </w:rPr>
      </w:r>
    </w:p>
    <w:p>
      <w:pPr>
        <w:pStyle w:val="Normal"/>
        <w:widowControl/>
        <w:tabs>
          <w:tab w:val="clear" w:pos="720"/>
          <w:tab w:val="center" w:pos="4104" w:leader="none"/>
        </w:tabs>
        <w:spacing w:lineRule="atLeast" w:line="0" w:before="0" w:after="0"/>
        <w:rPr>
          <w:sz w:val="24"/>
        </w:rPr>
      </w:pPr>
      <w:r>
        <w:rPr>
          <w:sz w:val="24"/>
        </w:rPr>
        <w:tab/>
        <w:t># # #</w:t>
      </w:r>
    </w:p>
    <w:sectPr>
      <w:headerReference w:type="even" r:id="rId2"/>
      <w:headerReference w:type="default" r:id="rId3"/>
      <w:footerReference w:type="even" r:id="rId4"/>
      <w:footerReference w:type="default" r:id="rId5"/>
      <w:type w:val="nextPage"/>
      <w:pgSz w:w="12240" w:h="15840"/>
      <w:pgMar w:left="2160" w:right="1872" w:gutter="0" w:header="2160" w:top="2216" w:footer="1800" w:bottom="22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