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1400 Smith St</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77002-7327</w:t>
            </w:r>
            <w:r>
              <w:rPr>
                <w:sz w:val="22"/>
                <w:i/>
              </w:rPr>
              <w:fldChar w:fldCharType="end"/>
            </w:r>
          </w:p>
          <w:p>
            <w:pPr>
              <w:pStyle w:val="Normal"/>
              <w:tabs>
                <w:tab w:val="clear" w:pos="720"/>
                <w:tab w:val="left" w:pos="2412" w:leader="none"/>
              </w:tabs>
              <w:ind w:start="1962" w:end="0"/>
              <w:rPr>
                <w:i/>
                <w:i/>
                <w:sz w:val="22"/>
              </w:rPr>
            </w:pPr>
            <w:r>
              <w:rPr>
                <w:i/>
                <w:sz w:val="22"/>
              </w:rPr>
              <w:t>Fax (713) 646-2491</w:t>
            </w:r>
          </w:p>
          <w:p>
            <w:pPr>
              <w:pStyle w:val="Normal"/>
              <w:tabs>
                <w:tab w:val="clear" w:pos="720"/>
                <w:tab w:val="left" w:pos="2412" w:leader="none"/>
              </w:tabs>
              <w:ind w:start="1962" w:end="0"/>
              <w:rPr>
                <w:i/>
                <w:i/>
                <w:sz w:val="22"/>
              </w:rPr>
            </w:pPr>
            <w:r>
              <w:rPr>
                <w:i/>
                <w:sz w:val="22"/>
              </w:rPr>
            </w:r>
          </w:p>
        </w:tc>
      </w:tr>
    </w:tbl>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August 20, 2001</w:t>
      </w:r>
      <w:r>
        <w:rPr>
          <w:sz w:val="22"/>
        </w:rPr>
        <w:fldChar w:fldCharType="end"/>
      </w:r>
    </w:p>
    <w:p>
      <w:pPr>
        <w:pStyle w:val="Normal"/>
        <w:rPr/>
      </w:pPr>
      <w:r>
        <w:rPr>
          <w:sz w:val="22"/>
        </w:rPr>
        <w:t>To:</w:t>
        <w:tab/>
        <w:tab/>
      </w:r>
      <w:r>
        <w:rPr>
          <w:sz w:val="22"/>
        </w:rPr>
        <w:fldChar w:fldCharType="begin"/>
      </w:r>
      <w:r>
        <w:rPr>
          <w:sz w:val="22"/>
        </w:rPr>
        <w:instrText xml:space="preserve"> MERGEFIELD CounterpartyName </w:instrText>
      </w:r>
      <w:r>
        <w:rPr>
          <w:sz w:val="22"/>
        </w:rPr>
        <w:fldChar w:fldCharType="separate"/>
      </w:r>
      <w:r>
        <w:rPr>
          <w:sz w:val="22"/>
        </w:rPr>
        <w:t>PSEG Energy Resources &amp; Trade LLC</w:t>
      </w:r>
      <w:r>
        <w:rPr>
          <w:sz w:val="22"/>
        </w:rPr>
        <w:fldChar w:fldCharType="end"/>
      </w:r>
      <w:r>
        <w:rPr>
          <w:sz w:val="22"/>
        </w:rPr>
        <w:t xml:space="preserve"> ("Party B")</w:t>
      </w:r>
    </w:p>
    <w:p>
      <w:pPr>
        <w:pStyle w:val="Normal"/>
        <w:rPr>
          <w:sz w:val="22"/>
        </w:rPr>
      </w:pPr>
      <w:r>
        <w:rPr>
          <w:sz w:val="22"/>
        </w:rPr>
        <w:t>Attention:</w:t>
        <w:tab/>
      </w:r>
      <w:r>
        <w:rPr>
          <w:sz w:val="22"/>
        </w:rPr>
        <w:fldChar w:fldCharType="begin"/>
      </w:r>
      <w:r>
        <w:rPr>
          <w:sz w:val="22"/>
        </w:rPr>
        <w:instrText xml:space="preserve"> MERGEFIELD CounterpartyContact </w:instrText>
      </w:r>
      <w:r>
        <w:rPr>
          <w:sz w:val="22"/>
        </w:rPr>
        <w:fldChar w:fldCharType="separate"/>
      </w:r>
      <w:r>
        <w:rPr>
          <w:sz w:val="22"/>
        </w:rPr>
        <w:t>Documentation Department</w:t>
      </w:r>
      <w:r>
        <w:rPr>
          <w:sz w:val="22"/>
        </w:rPr>
        <w:fldChar w:fldCharType="end"/>
      </w:r>
    </w:p>
    <w:p>
      <w:pPr>
        <w:pStyle w:val="Normal"/>
        <w:rPr>
          <w:sz w:val="22"/>
        </w:rPr>
      </w:pPr>
      <w:r>
        <w:rPr>
          <w:sz w:val="22"/>
        </w:rPr>
        <w:t>Fax No.:</w:t>
        <w:tab/>
      </w:r>
      <w:r>
        <w:rPr>
          <w:sz w:val="22"/>
        </w:rPr>
        <w:fldChar w:fldCharType="begin"/>
      </w:r>
      <w:r>
        <w:rPr>
          <w:sz w:val="22"/>
        </w:rPr>
        <w:instrText xml:space="preserve"> MERGEFIELD CounterpartyFax </w:instrText>
      </w:r>
      <w:r>
        <w:rPr>
          <w:sz w:val="22"/>
        </w:rPr>
        <w:fldChar w:fldCharType="separate"/>
      </w:r>
      <w:r>
        <w:rPr>
          <w:sz w:val="22"/>
        </w:rPr>
        <w:t>(973) 623-1554</w:t>
      </w:r>
      <w:r>
        <w:rPr>
          <w:sz w:val="22"/>
        </w:rPr>
        <w:fldChar w:fldCharType="end"/>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("Party A")</w:t>
      </w:r>
    </w:p>
    <w:p>
      <w:pPr>
        <w:pStyle w:val="Normal"/>
        <w:rPr>
          <w:sz w:val="22"/>
        </w:rPr>
      </w:pPr>
      <w:r>
        <w:rPr>
          <w:sz w:val="22"/>
        </w:rPr>
        <w:t>Re:</w:t>
        <w:tab/>
        <w:tab/>
        <w:t xml:space="preserve">Commodity Swap </w:t>
      </w:r>
      <w:r>
        <w:rPr>
          <w:sz w:val="22"/>
        </w:rPr>
        <w:fldChar w:fldCharType="begin"/>
      </w:r>
      <w:r>
        <w:rPr>
          <w:sz w:val="22"/>
        </w:rPr>
        <w:instrText xml:space="preserve"> MERGEFIELD DealNumber </w:instrText>
      </w:r>
      <w:r>
        <w:rPr>
          <w:sz w:val="22"/>
        </w:rPr>
        <w:fldChar w:fldCharType="separate"/>
      </w:r>
      <w:r>
        <w:rPr>
          <w:sz w:val="22"/>
        </w:rPr>
        <w:t>740295.01</w:t>
      </w:r>
      <w:r>
        <w:rPr>
          <w:sz w:val="22"/>
        </w:rPr>
        <w:fldChar w:fldCharType="end"/>
      </w:r>
    </w:p>
    <w:p>
      <w:pPr>
        <w:pStyle w:val="Normal"/>
        <w:rPr>
          <w:sz w:val="22"/>
        </w:rPr>
      </w:pPr>
      <w:r>
        <w:rPr>
          <w:sz w:val="22"/>
        </w:rPr>
      </w:r>
    </w:p>
    <w:p>
      <w:pPr>
        <w:pStyle w:val="Normal"/>
        <w:jc w:val="center"/>
        <w:rPr>
          <w:b/>
          <w:sz w:val="22"/>
        </w:rPr>
      </w:pPr>
      <w:r>
        <w:rPr>
          <w:b/>
          <w:sz w:val="22"/>
        </w:rPr>
        <w:fldChar w:fldCharType="begin"/>
      </w:r>
      <w:r>
        <w:rPr>
          <w:sz w:val="22"/>
          <w:b/>
        </w:rPr>
        <w:instrText xml:space="preserve"> MERGEFIELD EOLID </w:instrText>
      </w:r>
      <w:r>
        <w:rPr>
          <w:sz w:val="22"/>
          <w:b/>
        </w:rPr>
        <w:fldChar w:fldCharType="separate"/>
      </w:r>
      <w:r>
        <w:rPr>
          <w:sz w:val="22"/>
          <w:b/>
        </w:rPr>
        <w:t>This Transaction was entered into between the parties via EnronOnline.</w:t>
        <w:t>EnronOnline Deal No: 1730335</w:t>
      </w:r>
      <w:r>
        <w:rPr>
          <w:sz w:val="22"/>
          <w:b/>
        </w:rPr>
        <w:fldChar w:fldCharType="end"/>
      </w:r>
    </w:p>
    <w:p>
      <w:pPr>
        <w:pStyle w:val="Normal"/>
        <w:rPr>
          <w:b/>
          <w:sz w:val="22"/>
        </w:rPr>
      </w:pPr>
      <w:r>
        <w:rPr>
          <w:b/>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pPr>
      <w:r>
        <w:rPr>
          <w:sz w:val="22"/>
        </w:rPr>
        <w:tab/>
        <w:t xml:space="preserve">1.  This Confirmation supplements, forms part of, and is subject to, the ISDA Master Agreement dated as of </w:t>
      </w:r>
      <w:r>
        <w:rPr>
          <w:sz w:val="22"/>
        </w:rPr>
        <w:fldChar w:fldCharType="begin"/>
      </w:r>
      <w:r>
        <w:rPr>
          <w:sz w:val="22"/>
        </w:rPr>
        <w:instrText xml:space="preserve"> MERGEFIELD FinancialMasterDate </w:instrText>
      </w:r>
      <w:r>
        <w:rPr>
          <w:sz w:val="22"/>
        </w:rPr>
        <w:fldChar w:fldCharType="separate"/>
      </w:r>
      <w:r>
        <w:rPr>
          <w:sz w:val="22"/>
        </w:rPr>
        <w:t>November 29, 1999</w:t>
      </w:r>
      <w:r>
        <w:rPr>
          <w:sz w:val="22"/>
        </w:rPr>
        <w:fldChar w:fldCharType="end"/>
      </w:r>
      <w:r>
        <w:rPr>
          <w:sz w:val="22"/>
        </w:rPr>
        <w:t>,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pPr>
            <w:r>
              <w:rPr>
                <w:sz w:val="22"/>
              </w:rPr>
              <w:fldChar w:fldCharType="begin"/>
            </w:r>
            <w:r>
              <w:rPr>
                <w:sz w:val="22"/>
              </w:rPr>
              <w:instrText xml:space="preserve"> MERGEFIELD QuantityPerHour </w:instrText>
            </w:r>
            <w:r>
              <w:rPr>
                <w:sz w:val="22"/>
              </w:rPr>
              <w:fldChar w:fldCharType="separate"/>
            </w:r>
            <w:r>
              <w:rPr>
                <w:sz w:val="22"/>
              </w:rPr>
              <w:t>50</w:t>
            </w:r>
            <w:r>
              <w:rPr>
                <w:sz w:val="22"/>
              </w:rPr>
              <w:fldChar w:fldCharType="end"/>
            </w:r>
            <w:r>
              <w:rPr>
                <w:sz w:val="22"/>
              </w:rPr>
              <w:t xml:space="preserve"> </w:t>
            </w:r>
            <w:r>
              <w:rPr>
                <w:sz w:val="22"/>
              </w:rPr>
              <w:t>MWs per hour for each On-Peak Hour during the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fldChar w:fldCharType="begin"/>
            </w:r>
            <w:r>
              <w:rPr>
                <w:sz w:val="22"/>
              </w:rPr>
              <w:instrText xml:space="preserve"> MERGEFIELD CommodityName </w:instrText>
            </w:r>
            <w:r>
              <w:rPr>
                <w:sz w:val="22"/>
              </w:rPr>
              <w:fldChar w:fldCharType="separate"/>
            </w:r>
            <w:r>
              <w:rPr>
                <w:sz w:val="22"/>
              </w:rPr>
              <w:t>Electricity/MWh</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fldChar w:fldCharType="begin"/>
            </w:r>
            <w:r>
              <w:rPr>
                <w:sz w:val="22"/>
              </w:rPr>
              <w:instrText xml:space="preserve"> MERGEFIELD UnitOfMeasure </w:instrText>
            </w:r>
            <w:r>
              <w:rPr>
                <w:sz w:val="22"/>
              </w:rPr>
              <w:fldChar w:fldCharType="separate"/>
            </w:r>
            <w:r>
              <w:rPr>
                <w:sz w:val="22"/>
              </w:rPr>
              <w:t>MWh (Megawatt hours)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August 20,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fldChar w:fldCharType="begin"/>
            </w:r>
            <w:r>
              <w:rPr>
                <w:sz w:val="22"/>
              </w:rPr>
              <w:instrText xml:space="preserve"> MERGEFIELD TransStartDate </w:instrText>
            </w:r>
            <w:r>
              <w:rPr>
                <w:sz w:val="22"/>
              </w:rPr>
              <w:fldChar w:fldCharType="separate"/>
            </w:r>
            <w:r>
              <w:rPr>
                <w:sz w:val="22"/>
              </w:rPr>
              <w:t>August 22,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fldChar w:fldCharType="begin"/>
            </w:r>
            <w:r>
              <w:rPr>
                <w:sz w:val="22"/>
              </w:rPr>
              <w:instrText xml:space="preserve"> MERGEFIELD TransStopDate </w:instrText>
            </w:r>
            <w:r>
              <w:rPr>
                <w:sz w:val="22"/>
              </w:rPr>
              <w:fldChar w:fldCharType="separate"/>
            </w:r>
            <w:r>
              <w:rPr>
                <w:sz w:val="22"/>
              </w:rPr>
              <w:t>August 22,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pPr>
            <w:r>
              <w:rPr>
                <w:sz w:val="22"/>
              </w:rPr>
              <w:fldChar w:fldCharType="begin"/>
            </w:r>
            <w:r>
              <w:rPr>
                <w:sz w:val="22"/>
              </w:rPr>
              <w:instrText xml:space="preserve"> MERGEFIELD DeterminationPeriod </w:instrText>
            </w:r>
            <w:r>
              <w:rPr>
                <w:sz w:val="22"/>
              </w:rPr>
              <w:fldChar w:fldCharType="separate"/>
            </w:r>
            <w:r>
              <w:rPr>
                <w:sz w:val="22"/>
              </w:rPr>
              <w:t>August 22, 2001</w:t>
            </w:r>
            <w:r>
              <w:rPr>
                <w:sz w:val="22"/>
              </w:rPr>
              <w:fldChar w:fldCharType="end"/>
            </w:r>
            <w:r>
              <w:rPr>
                <w:sz w:val="22"/>
              </w:rPr>
              <w:t xml:space="preserve"> </w:t>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t>The fifth (5th) Business Day following the last day of the month that includes the Calculation Period.</w:t>
            </w:r>
          </w:p>
        </w:tc>
      </w:tr>
    </w:tbl>
    <w:p>
      <w:pPr>
        <w:pStyle w:val="Normal"/>
        <w:ind w:end="-270"/>
        <w:rPr>
          <w:sz w:val="22"/>
        </w:rPr>
      </w:pPr>
      <w:r>
        <w:rPr>
          <w:sz w:val="22"/>
        </w:rPr>
      </w:r>
    </w:p>
    <w:p>
      <w:pPr>
        <w:pStyle w:val="Normal"/>
        <w:ind w:end="-270"/>
        <w:rPr>
          <w:sz w:val="22"/>
        </w:rPr>
      </w:pPr>
      <w:r>
        <w:rPr>
          <w:sz w:val="22"/>
        </w:rPr>
      </w:r>
    </w:p>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fldChar w:fldCharType="begin"/>
            </w:r>
            <w:r>
              <w:rPr>
                <w:sz w:val="22"/>
              </w:rPr>
              <w:instrText xml:space="preserve"> MERGEFIELD ISDABuyer </w:instrText>
            </w:r>
            <w:r>
              <w:rPr>
                <w:sz w:val="22"/>
              </w:rPr>
              <w:fldChar w:fldCharType="separate"/>
            </w:r>
            <w:r>
              <w:rPr>
                <w:sz w:val="22"/>
              </w:rPr>
              <w:t>Party A</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$44.75/MWh.</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fldChar w:fldCharType="begin"/>
            </w:r>
            <w:r>
              <w:rPr>
                <w:sz w:val="22"/>
              </w:rPr>
              <w:instrText xml:space="preserve"> MERGEFIELD ISDASeller </w:instrText>
            </w:r>
            <w:r>
              <w:rPr>
                <w:sz w:val="22"/>
              </w:rPr>
              <w:fldChar w:fldCharType="separate"/>
            </w:r>
            <w:r>
              <w:rPr>
                <w:sz w:val="22"/>
              </w:rPr>
              <w:t>Party B</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average of the hourly day-ahead prices as published by the New York Independent System Operator (the “NYISO”) on the last day of the month that includes the applicable Calculation Period on the NYISO’s official web site currently located at http://mis.nyiso.com/public/index.html, or any successor thereto, under the headings “Day Ahead Market LBMP - Zonal; Zonal Prices; West (61752) (Zone A)” for electricity during “On-Peak Hours” for the applicable Calculation Period.</w:t>
              <w:t>“On-Peak Hours” means the hours commencing HE 0800 through HE 2300 Eastern Prevailing Time, Monday through Friday (excluding holidays of the North American Electric Reliability Council)</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sz w:val="22"/>
              </w:rPr>
              <w:fldChar w:fldCharType="end"/>
            </w:r>
          </w:p>
        </w:tc>
      </w:tr>
    </w:tbl>
    <w:p>
      <w:pPr>
        <w:pStyle w:val="Normal"/>
        <w:jc w:val="both"/>
        <w:rPr>
          <w:sz w:val="22"/>
        </w:rPr>
      </w:pPr>
      <w:r>
        <w:rPr>
          <w:sz w:val="22"/>
        </w:rPr>
      </w:r>
    </w:p>
    <w:p>
      <w:pPr>
        <w:pStyle w:val="Norma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keepLines/>
              <w:rPr>
                <w:sz w:val="22"/>
              </w:rPr>
            </w:pPr>
            <w:r>
              <w:rPr>
                <w:sz w:val="22"/>
              </w:rPr>
            </w:r>
          </w:p>
          <w:p>
            <w:pPr>
              <w:pStyle w:val="Normal"/>
              <w:keepLines/>
              <w:rPr>
                <w:sz w:val="22"/>
              </w:rPr>
            </w:pPr>
            <w:r>
              <w:rPr>
                <w:sz w:val="22"/>
              </w:rPr>
              <w:tab/>
              <w:tab/>
              <w:tab/>
              <w:tab/>
              <w:tab/>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br/>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M.D. Davis, Jr.</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Vice President</w:t>
            </w:r>
            <w:r>
              <w:rPr>
                <w:sz w:val="22"/>
              </w:rPr>
              <w:fldChar w:fldCharType="end"/>
            </w:r>
          </w:p>
        </w:tc>
        <w:tc>
          <w:tcPr>
            <w:tcW w:w="5292" w:type="dxa"/>
            <w:tcBorders/>
          </w:tcPr>
          <w:p>
            <w:pPr>
              <w:pStyle w:val="Normal"/>
              <w:keepLines/>
              <w:rPr/>
            </w:pPr>
            <w:r>
              <w:rPr>
                <w:sz w:val="22"/>
              </w:rPr>
              <w:t xml:space="preserve">Deal No. </w:t>
            </w:r>
            <w:r>
              <w:rPr>
                <w:sz w:val="22"/>
              </w:rPr>
              <w:fldChar w:fldCharType="begin"/>
            </w:r>
            <w:r>
              <w:rPr>
                <w:sz w:val="22"/>
              </w:rPr>
              <w:instrText xml:space="preserve"> MERGEFIELD DealNumber </w:instrText>
            </w:r>
            <w:r>
              <w:rPr>
                <w:sz w:val="22"/>
              </w:rPr>
              <w:fldChar w:fldCharType="separate"/>
            </w:r>
            <w:r>
              <w:rPr>
                <w:sz w:val="22"/>
              </w:rPr>
              <w:t>740295.01</w:t>
            </w:r>
            <w:r>
              <w:rPr>
                <w:sz w:val="22"/>
              </w:rPr>
              <w:fldChar w:fldCharType="end"/>
            </w:r>
            <w:r>
              <w:rPr>
                <w:sz w:val="22"/>
              </w:rPr>
              <w:t xml:space="preserve">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CounterpartyName </w:instrText>
            </w:r>
            <w:r>
              <w:rPr>
                <w:sz w:val="22"/>
              </w:rPr>
              <w:fldChar w:fldCharType="separate"/>
            </w:r>
            <w:r>
              <w:rPr>
                <w:sz w:val="22"/>
              </w:rPr>
              <w:t>PSEG Energy Resources &amp; Trade LLC</w:t>
            </w:r>
            <w:r>
              <w:rPr>
                <w:sz w:val="22"/>
              </w:rPr>
              <w:fldChar w:fldCharType="end"/>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continuous"/>
      <w:pgSz w:w="12240" w:h="15840"/>
      <w:pgMar w:left="1152" w:right="864" w:gutter="0" w:header="720" w:top="864" w:footer="720" w:bottom="864"/>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18"/>
      </w:rPr>
      <w:t>Deal No.</w:t>
    </w:r>
    <w:r>
      <w:rPr/>
      <w:t xml:space="preserve"> </w:t>
    </w:r>
    <w:r>
      <w:rPr/>
      <w:fldChar w:fldCharType="begin"/>
    </w:r>
    <w:r>
      <w:rPr/>
      <w:instrText xml:space="preserve"> TITLE </w:instrText>
    </w:r>
    <w:r>
      <w:rPr/>
      <w:fldChar w:fldCharType="separate"/>
    </w:r>
    <w:r>
      <w:rPr/>
      <w:t>740295.01</w:t>
    </w:r>
    <w:r>
      <w:rPr/>
      <w:fldChar w:fldCharType="end"/>
    </w:r>
  </w:p>
  <w:p>
    <w:pPr>
      <w:pStyle w:val="Header"/>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2001-08-21T16:47:00Z</dcterms:created>
  <dc:creator>EOL#</dc:creator>
  <dc:description/>
  <dc:language>en-CA</dc:language>
  <cp:lastModifiedBy>mmurphy</cp:lastModifiedBy>
  <dcterms:modified xsi:type="dcterms:W3CDTF">2001-08-21T16:47:00Z</dcterms:modified>
  <cp:revision>2</cp:revision>
  <dc:subject/>
  <dc:title>740295.01</dc:title>
</cp:coreProperties>
</file>