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b/>
          <w:bCs/>
          <w:sz w:val="24"/>
          <w:szCs w:val="24"/>
        </w:rPr>
      </w:pPr>
      <w:r>
        <w:rPr>
          <w:b/>
          <w:bCs/>
          <w:sz w:val="24"/>
          <w:szCs w:val="24"/>
        </w:rPr>
        <w:t>E220 – Corporate Financial Reporting Fall 2000</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widowControl/>
        <w:jc w:val="center"/>
        <w:rPr>
          <w:b/>
          <w:bCs/>
        </w:rPr>
      </w:pPr>
      <w:r>
        <w:rPr>
          <w:b/>
          <w:bCs/>
          <w:sz w:val="24"/>
          <w:szCs w:val="24"/>
        </w:rPr>
        <w:t>Nutra Foods Case 22-1</w:t>
      </w:r>
    </w:p>
    <w:p>
      <w:pPr>
        <w:pStyle w:val="Normal"/>
        <w:rPr>
          <w:b/>
          <w:bCs/>
        </w:rPr>
      </w:pPr>
      <w:r>
        <w:rPr>
          <w:b/>
          <w:bCs/>
        </w:rPr>
      </w:r>
    </w:p>
    <w:p>
      <w:pPr>
        <w:pStyle w:val="Normal"/>
        <w:rPr/>
      </w:pPr>
      <w:r>
        <w:rPr/>
      </w:r>
    </w:p>
    <w:p>
      <w:pPr>
        <w:pStyle w:val="Normal"/>
        <w:rPr/>
      </w:pPr>
      <w:r>
        <w:rPr/>
      </w:r>
    </w:p>
    <w:p>
      <w:pPr>
        <w:pStyle w:val="Normal"/>
        <w:rPr/>
      </w:pPr>
      <w:r>
        <w:rPr/>
      </w:r>
    </w:p>
    <w:p>
      <w:pPr>
        <w:pStyle w:val="Normal"/>
        <w:jc w:val="center"/>
        <w:rPr>
          <w:b/>
          <w:bCs/>
        </w:rPr>
      </w:pPr>
      <w:r>
        <w:rPr>
          <w:b/>
          <w:bCs/>
          <w:sz w:val="24"/>
          <w:szCs w:val="24"/>
        </w:rPr>
        <w:t>November 13, 2000</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szCs w:val="24"/>
        </w:rPr>
      </w:pPr>
      <w:r>
        <w:rPr>
          <w:b/>
          <w:bCs/>
          <w:sz w:val="24"/>
          <w:szCs w:val="24"/>
        </w:rPr>
        <w:t>Group:</w:t>
      </w:r>
    </w:p>
    <w:p>
      <w:pPr>
        <w:pStyle w:val="Normal"/>
        <w:jc w:val="center"/>
        <w:rPr>
          <w:sz w:val="24"/>
          <w:szCs w:val="24"/>
        </w:rPr>
      </w:pPr>
      <w:r>
        <w:rPr>
          <w:sz w:val="24"/>
          <w:szCs w:val="24"/>
        </w:rPr>
        <w:t>Jeff Dasovich</w:t>
      </w:r>
    </w:p>
    <w:p>
      <w:pPr>
        <w:pStyle w:val="Normal"/>
        <w:widowControl/>
        <w:jc w:val="center"/>
        <w:rPr>
          <w:sz w:val="24"/>
          <w:szCs w:val="24"/>
        </w:rPr>
      </w:pPr>
      <w:r>
        <w:rPr>
          <w:sz w:val="24"/>
          <w:szCs w:val="24"/>
        </w:rPr>
        <w:t>Jimmy Jackson</w:t>
      </w:r>
    </w:p>
    <w:p>
      <w:pPr>
        <w:pStyle w:val="Normal"/>
        <w:widowControl/>
        <w:jc w:val="center"/>
        <w:rPr>
          <w:sz w:val="24"/>
          <w:szCs w:val="24"/>
        </w:rPr>
      </w:pPr>
      <w:r>
        <w:rPr>
          <w:sz w:val="24"/>
          <w:szCs w:val="24"/>
        </w:rPr>
        <w:t>Kimberly Kupiecki</w:t>
      </w:r>
    </w:p>
    <w:p>
      <w:pPr>
        <w:pStyle w:val="Normal"/>
        <w:widowControl/>
        <w:jc w:val="center"/>
        <w:rPr>
          <w:sz w:val="24"/>
          <w:szCs w:val="24"/>
        </w:rPr>
      </w:pPr>
      <w:r>
        <w:rPr>
          <w:sz w:val="24"/>
          <w:szCs w:val="24"/>
        </w:rPr>
        <w:t>Dylan Windham</w:t>
      </w:r>
    </w:p>
    <w:p>
      <w:pPr>
        <w:pStyle w:val="Normal"/>
        <w:widowControl/>
        <w:jc w:val="center"/>
        <w:rPr>
          <w:sz w:val="24"/>
          <w:szCs w:val="24"/>
        </w:rPr>
      </w:pPr>
      <w:r>
        <w:rPr>
          <w:sz w:val="24"/>
          <w:szCs w:val="24"/>
        </w:rPr>
        <w:t>Christine Piesco</w:t>
      </w:r>
    </w:p>
    <w:p>
      <w:pPr>
        <w:pStyle w:val="Normal"/>
        <w:widowControl/>
        <w:jc w:val="center"/>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t>1.  Evaluate Ed McCowan’s investment at June 10, 1995.</w:t>
      </w:r>
    </w:p>
    <w:p>
      <w:pPr>
        <w:pStyle w:val="Normal"/>
        <w:widowControl/>
        <w:rPr>
          <w:i/>
          <w:i/>
          <w:iCs/>
          <w:sz w:val="24"/>
          <w:szCs w:val="24"/>
        </w:rPr>
      </w:pPr>
      <w:r>
        <w:rPr>
          <w:i/>
          <w:iCs/>
          <w:sz w:val="24"/>
          <w:szCs w:val="24"/>
        </w:rPr>
      </w:r>
    </w:p>
    <w:p>
      <w:pPr>
        <w:pStyle w:val="Normal"/>
        <w:widowControl/>
        <w:rPr>
          <w:sz w:val="24"/>
          <w:szCs w:val="24"/>
        </w:rPr>
      </w:pPr>
      <w:r>
        <w:rPr>
          <w:sz w:val="24"/>
          <w:szCs w:val="24"/>
          <w:u w:val="single"/>
        </w:rPr>
        <w:t>Year 0</w:t>
        <w:tab/>
      </w:r>
      <w:r>
        <w:rPr>
          <w:sz w:val="24"/>
          <w:szCs w:val="24"/>
        </w:rPr>
        <w:tab/>
        <w:tab/>
        <w:tab/>
        <w:tab/>
        <w:tab/>
        <w:tab/>
      </w:r>
      <w:r>
        <w:rPr>
          <w:sz w:val="24"/>
          <w:szCs w:val="24"/>
          <w:u w:val="single"/>
        </w:rPr>
        <w:t>Year 1</w:t>
      </w:r>
    </w:p>
    <w:p>
      <w:pPr>
        <w:pStyle w:val="Normal"/>
        <w:widowControl/>
        <w:rPr>
          <w:sz w:val="24"/>
          <w:szCs w:val="24"/>
        </w:rPr>
      </w:pPr>
      <w:r>
        <w:rPr>
          <w:sz w:val="24"/>
          <w:szCs w:val="24"/>
        </w:rPr>
        <w:t>($1,520)—stock purchased price (40 * $38)</w:t>
        <w:tab/>
        <w:tab/>
        <w:t>$10.00—dividends</w:t>
      </w:r>
    </w:p>
    <w:p>
      <w:pPr>
        <w:pStyle w:val="Normal"/>
        <w:widowControl/>
        <w:ind w:firstLine="360" w:end="0"/>
        <w:rPr>
          <w:sz w:val="24"/>
          <w:szCs w:val="24"/>
        </w:rPr>
      </w:pPr>
      <w:r>
        <w:rPr>
          <w:sz w:val="24"/>
          <w:szCs w:val="24"/>
        </w:rPr>
        <w:tab/>
        <w:tab/>
        <w:tab/>
        <w:tab/>
        <w:tab/>
        <w:tab/>
        <w:tab/>
        <w:t>$10.00—dividends</w:t>
      </w:r>
    </w:p>
    <w:p>
      <w:pPr>
        <w:pStyle w:val="Normal"/>
        <w:widowControl/>
        <w:ind w:firstLine="360" w:end="0"/>
        <w:rPr>
          <w:sz w:val="24"/>
          <w:szCs w:val="24"/>
        </w:rPr>
      </w:pPr>
      <w:r>
        <w:rPr>
          <w:sz w:val="24"/>
          <w:szCs w:val="24"/>
        </w:rPr>
        <w:tab/>
        <w:tab/>
        <w:tab/>
        <w:tab/>
        <w:tab/>
        <w:tab/>
        <w:tab/>
        <w:t>$10.50—dividends</w:t>
      </w:r>
    </w:p>
    <w:p>
      <w:pPr>
        <w:pStyle w:val="Normal"/>
        <w:widowControl/>
        <w:ind w:firstLine="360" w:end="0"/>
        <w:rPr>
          <w:sz w:val="24"/>
          <w:szCs w:val="24"/>
        </w:rPr>
      </w:pPr>
      <w:r>
        <w:rPr>
          <w:sz w:val="24"/>
          <w:szCs w:val="24"/>
        </w:rPr>
        <w:tab/>
        <w:tab/>
        <w:tab/>
        <w:tab/>
        <w:tab/>
        <w:tab/>
        <w:tab/>
        <w:t>$12.60—dividends</w:t>
      </w:r>
    </w:p>
    <w:p>
      <w:pPr>
        <w:pStyle w:val="Normal"/>
        <w:widowControl/>
        <w:ind w:firstLine="360" w:end="0"/>
        <w:rPr/>
      </w:pPr>
      <w:r>
        <w:rPr>
          <w:sz w:val="24"/>
          <w:szCs w:val="24"/>
        </w:rPr>
        <w:tab/>
        <w:tab/>
        <w:tab/>
        <w:tab/>
        <w:tab/>
        <w:tab/>
        <w:tab/>
      </w:r>
      <w:r>
        <w:rPr>
          <w:sz w:val="24"/>
          <w:szCs w:val="24"/>
          <w:u w:val="single"/>
        </w:rPr>
        <w:t>$1,796</w:t>
      </w:r>
      <w:r>
        <w:rPr>
          <w:sz w:val="24"/>
          <w:szCs w:val="24"/>
        </w:rPr>
        <w:t xml:space="preserve"> = value of stock (63*$28.50)</w:t>
      </w:r>
    </w:p>
    <w:p>
      <w:pPr>
        <w:pStyle w:val="Normal"/>
        <w:widowControl/>
        <w:ind w:firstLine="360" w:end="0"/>
        <w:rPr>
          <w:sz w:val="24"/>
          <w:szCs w:val="24"/>
        </w:rPr>
      </w:pPr>
      <w:r>
        <w:rPr>
          <w:sz w:val="24"/>
          <w:szCs w:val="24"/>
        </w:rPr>
        <w:tab/>
        <w:tab/>
        <w:tab/>
        <w:tab/>
        <w:tab/>
        <w:tab/>
        <w:t>Total</w:t>
        <w:tab/>
        <w:t>$1,839</w:t>
      </w:r>
    </w:p>
    <w:p>
      <w:pPr>
        <w:pStyle w:val="Normal"/>
        <w:widowControl/>
        <w:rPr>
          <w:sz w:val="24"/>
          <w:szCs w:val="24"/>
        </w:rPr>
      </w:pPr>
      <w:r>
        <w:rPr>
          <w:sz w:val="24"/>
          <w:szCs w:val="24"/>
        </w:rPr>
      </w:r>
    </w:p>
    <w:p>
      <w:pPr>
        <w:pStyle w:val="Normal"/>
        <w:widowControl/>
        <w:rPr>
          <w:sz w:val="24"/>
          <w:szCs w:val="24"/>
        </w:rPr>
      </w:pPr>
      <w:r>
        <w:rPr>
          <w:sz w:val="24"/>
          <w:szCs w:val="24"/>
        </w:rPr>
        <w:t xml:space="preserve">Return = </w:t>
      </w:r>
      <w:r>
        <w:rPr>
          <w:sz w:val="24"/>
          <w:szCs w:val="24"/>
          <w:u w:val="single"/>
        </w:rPr>
        <w:t>PV($1,839) - $1,520</w:t>
      </w:r>
    </w:p>
    <w:p>
      <w:pPr>
        <w:pStyle w:val="Normal"/>
        <w:widowControl/>
        <w:rPr>
          <w:sz w:val="24"/>
          <w:szCs w:val="24"/>
        </w:rPr>
      </w:pPr>
      <w:r>
        <w:rPr>
          <w:sz w:val="24"/>
          <w:szCs w:val="24"/>
        </w:rPr>
        <w:tab/>
        <w:tab/>
        <w:t>$1,520</w:t>
      </w:r>
    </w:p>
    <w:p>
      <w:pPr>
        <w:pStyle w:val="Normal"/>
        <w:widowControl/>
        <w:rPr>
          <w:sz w:val="24"/>
          <w:szCs w:val="24"/>
        </w:rPr>
      </w:pPr>
      <w:r>
        <w:rPr>
          <w:sz w:val="24"/>
          <w:szCs w:val="24"/>
        </w:rPr>
      </w:r>
    </w:p>
    <w:p>
      <w:pPr>
        <w:pStyle w:val="Normal"/>
        <w:widowControl/>
        <w:rPr/>
      </w:pPr>
      <w:r>
        <w:rPr>
          <w:sz w:val="24"/>
          <w:szCs w:val="24"/>
          <w:u w:val="single"/>
        </w:rPr>
        <w:t>Interest Rate</w:t>
      </w:r>
      <w:r>
        <w:rPr>
          <w:sz w:val="24"/>
          <w:szCs w:val="24"/>
        </w:rPr>
        <w:tab/>
        <w:tab/>
      </w:r>
      <w:r>
        <w:rPr>
          <w:sz w:val="24"/>
          <w:szCs w:val="24"/>
          <w:u w:val="single"/>
        </w:rPr>
        <w:t>Return</w:t>
      </w:r>
    </w:p>
    <w:p>
      <w:pPr>
        <w:pStyle w:val="Normal"/>
        <w:widowControl/>
        <w:rPr>
          <w:sz w:val="24"/>
          <w:szCs w:val="24"/>
        </w:rPr>
      </w:pPr>
      <w:r>
        <w:rPr>
          <w:sz w:val="24"/>
          <w:szCs w:val="24"/>
        </w:rPr>
        <w:t>10%</w:t>
        <w:tab/>
        <w:tab/>
        <w:tab/>
        <w:t>~10%</w:t>
      </w:r>
    </w:p>
    <w:p>
      <w:pPr>
        <w:pStyle w:val="Normal"/>
        <w:widowControl/>
        <w:rPr>
          <w:sz w:val="24"/>
          <w:szCs w:val="24"/>
        </w:rPr>
      </w:pPr>
      <w:r>
        <w:rPr>
          <w:sz w:val="24"/>
          <w:szCs w:val="24"/>
        </w:rPr>
        <w:t>8%</w:t>
        <w:tab/>
        <w:tab/>
        <w:tab/>
        <w:t>~12%</w:t>
      </w:r>
    </w:p>
    <w:p>
      <w:pPr>
        <w:pStyle w:val="Normal"/>
        <w:widowControl/>
        <w:ind w:hanging="180" w:start="180" w:end="0"/>
        <w:rPr>
          <w:sz w:val="24"/>
          <w:szCs w:val="24"/>
        </w:rPr>
      </w:pPr>
      <w:r>
        <w:rPr>
          <w:sz w:val="24"/>
          <w:szCs w:val="24"/>
        </w:rPr>
        <w:t>6%</w:t>
        <w:tab/>
        <w:tab/>
        <w:tab/>
        <w:t>~14%</w:t>
      </w:r>
    </w:p>
    <w:p>
      <w:pPr>
        <w:pStyle w:val="Normal"/>
        <w:widowControl/>
        <w:ind w:hanging="180" w:start="180" w:end="0"/>
        <w:rPr>
          <w:sz w:val="24"/>
          <w:szCs w:val="24"/>
        </w:rPr>
      </w:pPr>
      <w:r>
        <w:rPr>
          <w:sz w:val="24"/>
          <w:szCs w:val="24"/>
        </w:rPr>
      </w:r>
    </w:p>
    <w:p>
      <w:pPr>
        <w:pStyle w:val="Normal"/>
        <w:widowControl/>
        <w:ind w:hanging="180" w:start="180" w:end="0"/>
        <w:rPr>
          <w:sz w:val="24"/>
          <w:szCs w:val="24"/>
        </w:rPr>
      </w:pPr>
      <w:r>
        <w:rPr>
          <w:i/>
          <w:iCs/>
          <w:sz w:val="24"/>
          <w:szCs w:val="24"/>
        </w:rPr>
        <w:t>2.a. Determine how each item in the stockholder’s equity section of Nutra Food’s balance sheet was originally created.</w:t>
      </w:r>
    </w:p>
    <w:p>
      <w:pPr>
        <w:pStyle w:val="Normal"/>
        <w:widowControl/>
        <w:ind w:hanging="180" w:start="180" w:end="0"/>
        <w:rPr>
          <w:sz w:val="24"/>
          <w:szCs w:val="24"/>
        </w:rPr>
      </w:pPr>
      <w:r>
        <w:rPr>
          <w:sz w:val="24"/>
          <w:szCs w:val="24"/>
        </w:rPr>
      </w:r>
    </w:p>
    <w:p>
      <w:pPr>
        <w:pStyle w:val="Normal"/>
        <w:widowControl/>
        <w:ind w:hanging="180" w:start="180" w:end="0"/>
        <w:rPr>
          <w:sz w:val="24"/>
          <w:szCs w:val="24"/>
          <w:u w:val="single"/>
        </w:rPr>
      </w:pPr>
      <w:r>
        <w:rPr>
          <w:sz w:val="24"/>
          <w:szCs w:val="24"/>
          <w:u w:val="single"/>
        </w:rPr>
        <w:t>Preferred stock</w:t>
      </w:r>
    </w:p>
    <w:p>
      <w:pPr>
        <w:pStyle w:val="Normal"/>
        <w:widowControl/>
        <w:tabs>
          <w:tab w:val="left" w:pos="720" w:leader="none"/>
        </w:tabs>
        <w:rPr>
          <w:sz w:val="24"/>
          <w:szCs w:val="24"/>
        </w:rPr>
      </w:pPr>
      <w:r>
        <w:rPr>
          <w:sz w:val="24"/>
          <w:szCs w:val="24"/>
        </w:rPr>
        <w:t xml:space="preserve">15,000 shares of preferred stock were originally authorized in 1982 for a public offering.  Each year, 4% of the preferred shares were issued.  A sample table of this is included below.  At some point, Nutra Foods started buying back preferred stock as it became valuable on the market.  </w:t>
      </w:r>
    </w:p>
    <w:p>
      <w:pPr>
        <w:pStyle w:val="Normal"/>
        <w:widowControl/>
        <w:rPr>
          <w:sz w:val="24"/>
          <w:szCs w:val="24"/>
        </w:rPr>
      </w:pPr>
      <w:r>
        <w:rPr>
          <w:sz w:val="24"/>
          <w:szCs w:val="24"/>
        </w:rPr>
      </w:r>
    </w:p>
    <w:p>
      <w:pPr>
        <w:pStyle w:val="Heading2"/>
        <w:widowControl/>
        <w:rPr/>
      </w:pPr>
      <w:r>
        <w:rPr/>
        <w:t xml:space="preserve">         </w:t>
      </w:r>
      <w:r>
        <w:rPr/>
        <w:t>Issuance of cumulative preferred stock</w:t>
      </w:r>
    </w:p>
    <w:p>
      <w:pPr>
        <w:pStyle w:val="Normal"/>
        <w:rPr/>
      </w:pPr>
      <w:r>
        <w:rPr/>
      </w:r>
    </w:p>
    <w:tbl>
      <w:tblPr>
        <w:tblW w:w="7830" w:type="dxa"/>
        <w:jc w:val="start"/>
        <w:tblInd w:w="750" w:type="dxa"/>
        <w:tblLayout w:type="fixed"/>
        <w:tblCellMar>
          <w:top w:w="0" w:type="dxa"/>
          <w:start w:w="30" w:type="dxa"/>
          <w:bottom w:w="0" w:type="dxa"/>
          <w:end w:w="30" w:type="dxa"/>
        </w:tblCellMar>
      </w:tblPr>
      <w:tblGrid>
        <w:gridCol w:w="990"/>
        <w:gridCol w:w="1710"/>
        <w:gridCol w:w="2959"/>
        <w:gridCol w:w="2171"/>
      </w:tblGrid>
      <w:tr>
        <w:trPr>
          <w:trHeight w:val="857" w:hRule="atLeast"/>
        </w:trPr>
        <w:tc>
          <w:tcPr>
            <w:tcW w:w="990" w:type="dxa"/>
            <w:tcBorders/>
          </w:tcPr>
          <w:p>
            <w:pPr>
              <w:pStyle w:val="Normal"/>
              <w:widowControl/>
              <w:rPr>
                <w:color w:val="000000"/>
                <w:sz w:val="24"/>
                <w:szCs w:val="24"/>
              </w:rPr>
            </w:pPr>
            <w:r>
              <w:rPr>
                <w:color w:val="000000"/>
                <w:sz w:val="24"/>
                <w:szCs w:val="24"/>
              </w:rPr>
              <w:t xml:space="preserve">       </w:t>
            </w:r>
            <w:r>
              <w:rPr>
                <w:color w:val="000000"/>
                <w:sz w:val="24"/>
                <w:szCs w:val="24"/>
              </w:rPr>
              <w:t>Year</w:t>
            </w:r>
          </w:p>
        </w:tc>
        <w:tc>
          <w:tcPr>
            <w:tcW w:w="1710" w:type="dxa"/>
            <w:tcBorders/>
          </w:tcPr>
          <w:p>
            <w:pPr>
              <w:pStyle w:val="Normal"/>
              <w:widowControl/>
              <w:rPr>
                <w:color w:val="000000"/>
                <w:sz w:val="24"/>
                <w:szCs w:val="24"/>
              </w:rPr>
            </w:pPr>
            <w:r>
              <w:rPr>
                <w:color w:val="000000"/>
                <w:sz w:val="24"/>
                <w:szCs w:val="24"/>
              </w:rPr>
              <w:t xml:space="preserve">         </w:t>
            </w:r>
            <w:r>
              <w:rPr>
                <w:color w:val="000000"/>
                <w:sz w:val="24"/>
                <w:szCs w:val="24"/>
              </w:rPr>
              <w:t>total shares</w:t>
            </w:r>
          </w:p>
        </w:tc>
        <w:tc>
          <w:tcPr>
            <w:tcW w:w="2959" w:type="dxa"/>
            <w:tcBorders/>
          </w:tcPr>
          <w:p>
            <w:pPr>
              <w:pStyle w:val="Normal"/>
              <w:widowControl/>
              <w:ind w:hanging="1086" w:start="1086" w:end="-417"/>
              <w:rPr>
                <w:color w:val="000000"/>
                <w:sz w:val="24"/>
                <w:szCs w:val="24"/>
              </w:rPr>
            </w:pPr>
            <w:r>
              <w:rPr>
                <w:color w:val="000000"/>
                <w:sz w:val="24"/>
                <w:szCs w:val="24"/>
              </w:rPr>
              <w:t xml:space="preserve">               </w:t>
            </w:r>
            <w:r>
              <w:rPr>
                <w:color w:val="000000"/>
                <w:sz w:val="24"/>
                <w:szCs w:val="24"/>
              </w:rPr>
              <w:t>shares issued that</w:t>
            </w:r>
          </w:p>
          <w:p>
            <w:pPr>
              <w:pStyle w:val="Normal"/>
              <w:widowControl/>
              <w:ind w:hanging="1086" w:start="1086" w:end="-417"/>
              <w:rPr>
                <w:color w:val="000000"/>
                <w:sz w:val="24"/>
                <w:szCs w:val="24"/>
              </w:rPr>
            </w:pPr>
            <w:r>
              <w:rPr>
                <w:color w:val="000000"/>
                <w:sz w:val="24"/>
                <w:szCs w:val="24"/>
              </w:rPr>
              <w:t xml:space="preserve">               </w:t>
            </w:r>
            <w:r>
              <w:rPr>
                <w:color w:val="000000"/>
                <w:sz w:val="24"/>
                <w:szCs w:val="24"/>
              </w:rPr>
              <w:t>year - 4% cumulative</w:t>
            </w:r>
          </w:p>
        </w:tc>
        <w:tc>
          <w:tcPr>
            <w:tcW w:w="2171" w:type="dxa"/>
            <w:tcBorders/>
          </w:tcPr>
          <w:p>
            <w:pPr>
              <w:pStyle w:val="Normal"/>
              <w:widowControl/>
              <w:rPr>
                <w:color w:val="000000"/>
                <w:sz w:val="24"/>
                <w:szCs w:val="24"/>
              </w:rPr>
            </w:pPr>
            <w:r>
              <w:rPr>
                <w:color w:val="000000"/>
                <w:sz w:val="24"/>
                <w:szCs w:val="24"/>
              </w:rPr>
              <w:t xml:space="preserve">                        </w:t>
            </w:r>
            <w:r>
              <w:rPr>
                <w:color w:val="000000"/>
                <w:sz w:val="24"/>
                <w:szCs w:val="24"/>
              </w:rPr>
              <w:t>Total</w:t>
            </w:r>
          </w:p>
        </w:tc>
      </w:tr>
      <w:tr>
        <w:trPr>
          <w:trHeight w:val="247" w:hRule="atLeast"/>
        </w:trPr>
        <w:tc>
          <w:tcPr>
            <w:tcW w:w="990" w:type="dxa"/>
            <w:tcBorders/>
          </w:tcPr>
          <w:p>
            <w:pPr>
              <w:pStyle w:val="Normal"/>
              <w:widowControl/>
              <w:jc w:val="end"/>
              <w:rPr>
                <w:color w:val="000000"/>
                <w:sz w:val="24"/>
                <w:szCs w:val="24"/>
              </w:rPr>
            </w:pPr>
            <w:r>
              <w:rPr>
                <w:color w:val="000000"/>
                <w:sz w:val="24"/>
                <w:szCs w:val="24"/>
              </w:rPr>
              <w:t>1982</w:t>
            </w:r>
          </w:p>
        </w:tc>
        <w:tc>
          <w:tcPr>
            <w:tcW w:w="1710" w:type="dxa"/>
            <w:tcBorders/>
          </w:tcPr>
          <w:p>
            <w:pPr>
              <w:pStyle w:val="Normal"/>
              <w:widowControl/>
              <w:jc w:val="end"/>
              <w:rPr>
                <w:color w:val="000000"/>
                <w:sz w:val="24"/>
                <w:szCs w:val="24"/>
              </w:rPr>
            </w:pPr>
            <w:r>
              <w:rPr>
                <w:color w:val="000000"/>
                <w:sz w:val="24"/>
                <w:szCs w:val="24"/>
              </w:rPr>
              <w:t>15000</w:t>
            </w:r>
          </w:p>
        </w:tc>
        <w:tc>
          <w:tcPr>
            <w:tcW w:w="2959" w:type="dxa"/>
            <w:tcBorders/>
          </w:tcPr>
          <w:p>
            <w:pPr>
              <w:pStyle w:val="Normal"/>
              <w:widowControl/>
              <w:jc w:val="end"/>
              <w:rPr>
                <w:color w:val="000000"/>
                <w:sz w:val="24"/>
                <w:szCs w:val="24"/>
              </w:rPr>
            </w:pPr>
            <w:r>
              <w:rPr>
                <w:color w:val="000000"/>
                <w:sz w:val="24"/>
                <w:szCs w:val="24"/>
              </w:rPr>
              <w:t>600</w:t>
            </w:r>
          </w:p>
        </w:tc>
        <w:tc>
          <w:tcPr>
            <w:tcW w:w="2171" w:type="dxa"/>
            <w:tcBorders/>
          </w:tcPr>
          <w:p>
            <w:pPr>
              <w:pStyle w:val="Normal"/>
              <w:widowControl/>
              <w:jc w:val="end"/>
              <w:rPr>
                <w:color w:val="000000"/>
                <w:sz w:val="24"/>
                <w:szCs w:val="24"/>
              </w:rPr>
            </w:pPr>
            <w:r>
              <w:rPr>
                <w:color w:val="000000"/>
                <w:sz w:val="24"/>
                <w:szCs w:val="24"/>
              </w:rPr>
              <w:t>15000</w:t>
            </w:r>
          </w:p>
        </w:tc>
      </w:tr>
      <w:tr>
        <w:trPr>
          <w:trHeight w:val="247" w:hRule="atLeast"/>
        </w:trPr>
        <w:tc>
          <w:tcPr>
            <w:tcW w:w="990" w:type="dxa"/>
            <w:tcBorders/>
          </w:tcPr>
          <w:p>
            <w:pPr>
              <w:pStyle w:val="Normal"/>
              <w:widowControl/>
              <w:jc w:val="end"/>
              <w:rPr>
                <w:color w:val="000000"/>
                <w:sz w:val="24"/>
                <w:szCs w:val="24"/>
              </w:rPr>
            </w:pPr>
            <w:r>
              <w:rPr>
                <w:color w:val="000000"/>
                <w:sz w:val="24"/>
                <w:szCs w:val="24"/>
              </w:rPr>
              <w:t>1983</w:t>
            </w:r>
          </w:p>
        </w:tc>
        <w:tc>
          <w:tcPr>
            <w:tcW w:w="1710" w:type="dxa"/>
            <w:tcBorders/>
          </w:tcPr>
          <w:p>
            <w:pPr>
              <w:pStyle w:val="Normal"/>
              <w:widowControl/>
              <w:jc w:val="end"/>
              <w:rPr>
                <w:color w:val="000000"/>
                <w:sz w:val="24"/>
                <w:szCs w:val="24"/>
              </w:rPr>
            </w:pPr>
            <w:r>
              <w:rPr>
                <w:color w:val="000000"/>
                <w:sz w:val="24"/>
                <w:szCs w:val="24"/>
              </w:rPr>
              <w:t>14400</w:t>
            </w:r>
          </w:p>
        </w:tc>
        <w:tc>
          <w:tcPr>
            <w:tcW w:w="2959" w:type="dxa"/>
            <w:tcBorders/>
          </w:tcPr>
          <w:p>
            <w:pPr>
              <w:pStyle w:val="Normal"/>
              <w:widowControl/>
              <w:jc w:val="end"/>
              <w:rPr>
                <w:color w:val="000000"/>
                <w:sz w:val="24"/>
                <w:szCs w:val="24"/>
              </w:rPr>
            </w:pPr>
            <w:r>
              <w:rPr>
                <w:color w:val="000000"/>
                <w:sz w:val="24"/>
                <w:szCs w:val="24"/>
              </w:rPr>
              <w:t>576</w:t>
            </w:r>
          </w:p>
        </w:tc>
        <w:tc>
          <w:tcPr>
            <w:tcW w:w="2171" w:type="dxa"/>
            <w:tcBorders/>
          </w:tcPr>
          <w:p>
            <w:pPr>
              <w:pStyle w:val="Normal"/>
              <w:widowControl/>
              <w:jc w:val="end"/>
              <w:rPr>
                <w:color w:val="000000"/>
                <w:sz w:val="24"/>
                <w:szCs w:val="24"/>
              </w:rPr>
            </w:pPr>
            <w:r>
              <w:rPr>
                <w:color w:val="000000"/>
                <w:sz w:val="24"/>
                <w:szCs w:val="24"/>
              </w:rPr>
              <w:t>14400</w:t>
            </w:r>
          </w:p>
        </w:tc>
      </w:tr>
      <w:tr>
        <w:trPr>
          <w:trHeight w:val="247" w:hRule="atLeast"/>
        </w:trPr>
        <w:tc>
          <w:tcPr>
            <w:tcW w:w="990" w:type="dxa"/>
            <w:tcBorders/>
          </w:tcPr>
          <w:p>
            <w:pPr>
              <w:pStyle w:val="Normal"/>
              <w:widowControl/>
              <w:jc w:val="end"/>
              <w:rPr>
                <w:color w:val="000000"/>
                <w:sz w:val="24"/>
                <w:szCs w:val="24"/>
              </w:rPr>
            </w:pPr>
            <w:r>
              <w:rPr>
                <w:color w:val="000000"/>
                <w:sz w:val="24"/>
                <w:szCs w:val="24"/>
              </w:rPr>
              <w:t>1984</w:t>
            </w:r>
          </w:p>
        </w:tc>
        <w:tc>
          <w:tcPr>
            <w:tcW w:w="1710" w:type="dxa"/>
            <w:tcBorders/>
          </w:tcPr>
          <w:p>
            <w:pPr>
              <w:pStyle w:val="Normal"/>
              <w:widowControl/>
              <w:jc w:val="end"/>
              <w:rPr>
                <w:color w:val="000000"/>
                <w:sz w:val="24"/>
                <w:szCs w:val="24"/>
              </w:rPr>
            </w:pPr>
            <w:r>
              <w:rPr>
                <w:color w:val="000000"/>
                <w:sz w:val="24"/>
                <w:szCs w:val="24"/>
              </w:rPr>
              <w:t>13824</w:t>
            </w:r>
          </w:p>
        </w:tc>
        <w:tc>
          <w:tcPr>
            <w:tcW w:w="2959" w:type="dxa"/>
            <w:tcBorders/>
          </w:tcPr>
          <w:p>
            <w:pPr>
              <w:pStyle w:val="Normal"/>
              <w:widowControl/>
              <w:jc w:val="end"/>
              <w:rPr>
                <w:color w:val="000000"/>
                <w:sz w:val="24"/>
                <w:szCs w:val="24"/>
              </w:rPr>
            </w:pPr>
            <w:r>
              <w:rPr>
                <w:color w:val="000000"/>
                <w:sz w:val="24"/>
                <w:szCs w:val="24"/>
              </w:rPr>
              <w:t>552.96</w:t>
            </w:r>
          </w:p>
        </w:tc>
        <w:tc>
          <w:tcPr>
            <w:tcW w:w="2171" w:type="dxa"/>
            <w:tcBorders/>
          </w:tcPr>
          <w:p>
            <w:pPr>
              <w:pStyle w:val="Normal"/>
              <w:widowControl/>
              <w:jc w:val="end"/>
              <w:rPr>
                <w:color w:val="000000"/>
                <w:sz w:val="24"/>
                <w:szCs w:val="24"/>
              </w:rPr>
            </w:pPr>
            <w:r>
              <w:rPr>
                <w:color w:val="000000"/>
                <w:sz w:val="24"/>
                <w:szCs w:val="24"/>
              </w:rPr>
              <w:t>13824</w:t>
            </w:r>
          </w:p>
        </w:tc>
      </w:tr>
      <w:tr>
        <w:trPr>
          <w:trHeight w:val="247" w:hRule="atLeast"/>
        </w:trPr>
        <w:tc>
          <w:tcPr>
            <w:tcW w:w="990" w:type="dxa"/>
            <w:tcBorders/>
          </w:tcPr>
          <w:p>
            <w:pPr>
              <w:pStyle w:val="Normal"/>
              <w:widowControl/>
              <w:jc w:val="end"/>
              <w:rPr>
                <w:color w:val="000000"/>
                <w:sz w:val="24"/>
                <w:szCs w:val="24"/>
              </w:rPr>
            </w:pPr>
            <w:r>
              <w:rPr>
                <w:color w:val="000000"/>
                <w:sz w:val="24"/>
                <w:szCs w:val="24"/>
              </w:rPr>
              <w:t>…</w:t>
            </w:r>
          </w:p>
        </w:tc>
        <w:tc>
          <w:tcPr>
            <w:tcW w:w="1710" w:type="dxa"/>
            <w:tcBorders/>
          </w:tcPr>
          <w:p>
            <w:pPr>
              <w:pStyle w:val="Normal"/>
              <w:widowControl/>
              <w:jc w:val="end"/>
              <w:rPr>
                <w:color w:val="000000"/>
                <w:sz w:val="24"/>
                <w:szCs w:val="24"/>
              </w:rPr>
            </w:pPr>
            <w:r>
              <w:rPr>
                <w:color w:val="000000"/>
                <w:sz w:val="24"/>
                <w:szCs w:val="24"/>
              </w:rPr>
              <w:t>…</w:t>
            </w:r>
          </w:p>
        </w:tc>
        <w:tc>
          <w:tcPr>
            <w:tcW w:w="2959" w:type="dxa"/>
            <w:tcBorders/>
          </w:tcPr>
          <w:p>
            <w:pPr>
              <w:pStyle w:val="Normal"/>
              <w:widowControl/>
              <w:jc w:val="end"/>
              <w:rPr>
                <w:color w:val="000000"/>
                <w:sz w:val="24"/>
                <w:szCs w:val="24"/>
              </w:rPr>
            </w:pPr>
            <w:r>
              <w:rPr>
                <w:color w:val="000000"/>
                <w:sz w:val="24"/>
                <w:szCs w:val="24"/>
              </w:rPr>
              <w:t>…</w:t>
            </w:r>
          </w:p>
        </w:tc>
        <w:tc>
          <w:tcPr>
            <w:tcW w:w="2171" w:type="dxa"/>
            <w:tcBorders/>
          </w:tcPr>
          <w:p>
            <w:pPr>
              <w:pStyle w:val="Normal"/>
              <w:widowControl/>
              <w:jc w:val="end"/>
              <w:rPr>
                <w:color w:val="000000"/>
                <w:sz w:val="24"/>
                <w:szCs w:val="24"/>
              </w:rPr>
            </w:pPr>
            <w:r>
              <w:rPr>
                <w:color w:val="000000"/>
                <w:sz w:val="24"/>
                <w:szCs w:val="24"/>
              </w:rPr>
              <w:t>…</w:t>
            </w:r>
          </w:p>
        </w:tc>
      </w:tr>
    </w:tbl>
    <w:p>
      <w:pPr>
        <w:pStyle w:val="Normal"/>
        <w:widowControl/>
        <w:rPr>
          <w:sz w:val="24"/>
          <w:szCs w:val="24"/>
        </w:rPr>
      </w:pPr>
      <w:r>
        <w:rPr>
          <w:sz w:val="24"/>
          <w:szCs w:val="24"/>
        </w:rPr>
      </w:r>
    </w:p>
    <w:p>
      <w:pPr>
        <w:pStyle w:val="Normal"/>
        <w:widowControl/>
        <w:rPr>
          <w:sz w:val="24"/>
          <w:szCs w:val="24"/>
        </w:rPr>
      </w:pPr>
      <w:r>
        <w:rPr>
          <w:sz w:val="24"/>
          <w:szCs w:val="24"/>
        </w:rPr>
        <w:t>In 1994, there were approximately 8,847 shares of preferred stock.  This was calculated by using the $4.00 dividend per share and total reduction to retained earnings: $35386/$4.00/share = 8847 shares (approx).  In 1995, there is a total of 8797 shares of preferred stock outstanding:  8847-8797 = 50.  50 shares + 198 in treasury = 247 shares which is approximately the number of shares that were bought back in 1995.  The difference is most likely due to a rounding error in the reduction to retained earnings number. The value of 8,797 shares * $100 = $879,700</w:t>
      </w:r>
    </w:p>
    <w:p>
      <w:pPr>
        <w:pStyle w:val="Normal"/>
        <w:widowControl/>
        <w:ind w:hanging="720" w:start="720" w:end="0"/>
        <w:rPr>
          <w:sz w:val="24"/>
          <w:szCs w:val="24"/>
        </w:rPr>
      </w:pPr>
      <w:r>
        <w:rPr>
          <w:sz w:val="24"/>
          <w:szCs w:val="24"/>
        </w:rPr>
      </w:r>
    </w:p>
    <w:p>
      <w:pPr>
        <w:pStyle w:val="Normal"/>
        <w:widowControl/>
        <w:ind w:hanging="720" w:start="720" w:end="0"/>
        <w:rPr>
          <w:sz w:val="24"/>
          <w:szCs w:val="24"/>
          <w:u w:val="single"/>
        </w:rPr>
      </w:pPr>
      <w:r>
        <w:rPr>
          <w:sz w:val="24"/>
          <w:szCs w:val="24"/>
          <w:u w:val="single"/>
        </w:rPr>
        <w:t>Common stock (par value)</w:t>
      </w:r>
    </w:p>
    <w:p>
      <w:pPr>
        <w:pStyle w:val="Normal"/>
        <w:widowControl/>
        <w:rPr>
          <w:sz w:val="24"/>
          <w:szCs w:val="24"/>
        </w:rPr>
      </w:pPr>
      <w:r>
        <w:rPr>
          <w:sz w:val="24"/>
          <w:szCs w:val="24"/>
        </w:rPr>
        <w:t>In 1982, 1 million shares of common stock were authorized at a $5.00 par value. In 1995, Nutra Foods had the following transactions that affected common stock:</w:t>
      </w:r>
    </w:p>
    <w:p>
      <w:pPr>
        <w:pStyle w:val="Normal"/>
        <w:widowControl/>
        <w:rPr>
          <w:sz w:val="24"/>
          <w:szCs w:val="24"/>
        </w:rPr>
      </w:pPr>
      <w:r>
        <w:rPr>
          <w:sz w:val="24"/>
          <w:szCs w:val="24"/>
        </w:rPr>
      </w:r>
    </w:p>
    <w:p>
      <w:pPr>
        <w:pStyle w:val="Normal"/>
        <w:widowControl/>
        <w:numPr>
          <w:ilvl w:val="0"/>
          <w:numId w:val="2"/>
        </w:numPr>
        <w:tabs>
          <w:tab w:val="clear" w:pos="720"/>
          <w:tab w:val="left" w:pos="0" w:leader="none"/>
          <w:tab w:val="left" w:pos="360" w:leader="none"/>
        </w:tabs>
        <w:ind w:hanging="786" w:start="786" w:end="0"/>
        <w:rPr>
          <w:sz w:val="24"/>
          <w:szCs w:val="24"/>
        </w:rPr>
      </w:pPr>
      <w:r>
        <w:rPr>
          <w:sz w:val="24"/>
          <w:szCs w:val="24"/>
        </w:rPr>
        <w:t>Issued 18,732 shares as stock dividends to common share holders</w:t>
      </w:r>
    </w:p>
    <w:p>
      <w:pPr>
        <w:pStyle w:val="Normal"/>
        <w:widowControl/>
        <w:numPr>
          <w:ilvl w:val="0"/>
          <w:numId w:val="2"/>
        </w:numPr>
        <w:tabs>
          <w:tab w:val="clear" w:pos="720"/>
          <w:tab w:val="left" w:pos="0" w:leader="none"/>
          <w:tab w:val="left" w:pos="360" w:leader="none"/>
        </w:tabs>
        <w:ind w:hanging="360" w:start="786" w:end="0"/>
        <w:rPr>
          <w:sz w:val="24"/>
          <w:szCs w:val="24"/>
        </w:rPr>
      </w:pPr>
      <w:r>
        <w:rPr>
          <w:sz w:val="24"/>
          <w:szCs w:val="24"/>
        </w:rPr>
        <w:t>Transferred 196,690 shares in connection with the 3/2 stock split to stock holders. The total shares of common stock issued is 590,553. (590,553 issued shares) * $5 = $2,952,760</w:t>
      </w:r>
    </w:p>
    <w:p>
      <w:pPr>
        <w:pStyle w:val="Normal"/>
        <w:widowControl/>
        <w:ind w:hanging="720" w:start="720" w:end="0"/>
        <w:rPr>
          <w:sz w:val="24"/>
          <w:szCs w:val="24"/>
        </w:rPr>
      </w:pPr>
      <w:r>
        <w:rPr>
          <w:sz w:val="24"/>
          <w:szCs w:val="24"/>
        </w:rPr>
      </w:r>
    </w:p>
    <w:p>
      <w:pPr>
        <w:pStyle w:val="Normal"/>
        <w:widowControl/>
        <w:ind w:hanging="720" w:start="720" w:end="0"/>
        <w:rPr>
          <w:sz w:val="24"/>
          <w:szCs w:val="24"/>
          <w:u w:val="single"/>
        </w:rPr>
      </w:pPr>
      <w:r>
        <w:rPr>
          <w:sz w:val="24"/>
          <w:szCs w:val="24"/>
          <w:u w:val="single"/>
        </w:rPr>
        <w:t>Capital in excess of par</w:t>
      </w:r>
    </w:p>
    <w:p>
      <w:pPr>
        <w:pStyle w:val="Normal"/>
        <w:widowControl/>
        <w:tabs>
          <w:tab w:val="clear" w:pos="720"/>
          <w:tab w:val="left" w:pos="0" w:leader="none"/>
        </w:tabs>
        <w:rPr>
          <w:sz w:val="24"/>
          <w:szCs w:val="24"/>
        </w:rPr>
      </w:pPr>
      <w:r>
        <w:rPr>
          <w:sz w:val="24"/>
          <w:szCs w:val="24"/>
        </w:rPr>
        <w:t>In 1982, Nutra Foods was authorized to issue 1 million shares of stock with  par value of $5.00.  The difference between the amount the shares are actually sold for and the par value is "capital in excess of par." In 1995, Nutra Foods had the following transactions what affected capital in excess of par:</w:t>
      </w:r>
    </w:p>
    <w:p>
      <w:pPr>
        <w:pStyle w:val="Normal"/>
        <w:widowControl/>
        <w:tabs>
          <w:tab w:val="clear" w:pos="720"/>
          <w:tab w:val="left" w:pos="0" w:leader="none"/>
        </w:tabs>
        <w:rPr>
          <w:sz w:val="24"/>
          <w:szCs w:val="24"/>
        </w:rPr>
      </w:pPr>
      <w:r>
        <w:rPr>
          <w:sz w:val="24"/>
          <w:szCs w:val="24"/>
        </w:rPr>
      </w:r>
    </w:p>
    <w:p>
      <w:pPr>
        <w:pStyle w:val="Normal"/>
        <w:widowControl/>
        <w:numPr>
          <w:ilvl w:val="0"/>
          <w:numId w:val="3"/>
        </w:numPr>
        <w:tabs>
          <w:tab w:val="clear" w:pos="720"/>
          <w:tab w:val="left" w:pos="0" w:leader="none"/>
        </w:tabs>
        <w:ind w:hanging="786" w:start="786" w:end="0"/>
        <w:rPr>
          <w:sz w:val="24"/>
          <w:szCs w:val="24"/>
        </w:rPr>
      </w:pPr>
      <w:r>
        <w:rPr>
          <w:sz w:val="24"/>
          <w:szCs w:val="24"/>
        </w:rPr>
        <w:t>Gain on sale of 600 shares of treasury stock.  The company sold some of it's stock for more than par value.  $17,716 was assigned to capital in excess of par</w:t>
      </w:r>
    </w:p>
    <w:p>
      <w:pPr>
        <w:pStyle w:val="Normal"/>
        <w:widowControl/>
        <w:numPr>
          <w:ilvl w:val="0"/>
          <w:numId w:val="3"/>
        </w:numPr>
        <w:tabs>
          <w:tab w:val="clear" w:pos="720"/>
          <w:tab w:val="left" w:pos="0" w:leader="none"/>
        </w:tabs>
        <w:ind w:hanging="786" w:start="786" w:end="0"/>
        <w:rPr>
          <w:sz w:val="24"/>
          <w:szCs w:val="24"/>
        </w:rPr>
      </w:pPr>
      <w:r>
        <w:rPr>
          <w:sz w:val="24"/>
          <w:szCs w:val="24"/>
        </w:rPr>
        <w:t xml:space="preserve">Discount OF $4003 on purchase of 245 preferred shares.  Nutra Food bought back some of it's common stock because it had a high value in the market.  </w:t>
      </w:r>
    </w:p>
    <w:p>
      <w:pPr>
        <w:pStyle w:val="Normal"/>
        <w:widowControl/>
        <w:numPr>
          <w:ilvl w:val="0"/>
          <w:numId w:val="3"/>
        </w:numPr>
        <w:tabs>
          <w:tab w:val="clear" w:pos="720"/>
          <w:tab w:val="left" w:pos="0" w:leader="none"/>
        </w:tabs>
        <w:ind w:hanging="786" w:start="786" w:end="0"/>
        <w:rPr>
          <w:color w:val="000000"/>
          <w:sz w:val="24"/>
          <w:szCs w:val="24"/>
        </w:rPr>
      </w:pPr>
      <w:r>
        <w:rPr>
          <w:sz w:val="24"/>
          <w:szCs w:val="24"/>
        </w:rPr>
        <w:t xml:space="preserve">Transfer to common stock in connection with 3-for-2 stock split.  Nutra Foods issued </w:t>
      </w:r>
      <w:r>
        <w:rPr>
          <w:color w:val="000000"/>
          <w:sz w:val="24"/>
          <w:szCs w:val="24"/>
        </w:rPr>
        <w:t>196690 shares, each with a value of $5.00 over par for a total of (983450)</w:t>
      </w:r>
    </w:p>
    <w:p>
      <w:pPr>
        <w:pStyle w:val="Normal"/>
        <w:widowControl/>
        <w:numPr>
          <w:ilvl w:val="0"/>
          <w:numId w:val="3"/>
        </w:numPr>
        <w:tabs>
          <w:tab w:val="clear" w:pos="720"/>
          <w:tab w:val="left" w:pos="0" w:leader="none"/>
        </w:tabs>
        <w:ind w:hanging="786" w:start="786" w:end="0"/>
        <w:rPr>
          <w:color w:val="FF0000"/>
          <w:sz w:val="24"/>
          <w:szCs w:val="24"/>
        </w:rPr>
      </w:pPr>
      <w:r>
        <w:rPr>
          <w:color w:val="000000"/>
          <w:sz w:val="24"/>
          <w:szCs w:val="24"/>
        </w:rPr>
        <w:t>Payment of</w:t>
      </w:r>
      <w:r>
        <w:rPr>
          <w:color w:val="000000"/>
          <w:sz w:val="24"/>
          <w:szCs w:val="24"/>
        </w:rPr>
        <w:t xml:space="preserve"> a stock dividend recorded at fair market value.  Funds are transferred from retained earnings to purchase the stock.  The capital in excess of par is:  18732 shares X ($38.00 - $5.00) = $618,156</w:t>
      </w:r>
    </w:p>
    <w:p>
      <w:pPr>
        <w:pStyle w:val="Normal"/>
        <w:widowControl/>
        <w:ind w:hanging="720" w:start="720" w:end="0"/>
        <w:rPr>
          <w:sz w:val="24"/>
          <w:szCs w:val="24"/>
        </w:rPr>
      </w:pPr>
      <w:r>
        <w:rPr>
          <w:sz w:val="24"/>
          <w:szCs w:val="24"/>
        </w:rPr>
      </w:r>
    </w:p>
    <w:p>
      <w:pPr>
        <w:pStyle w:val="Normal"/>
        <w:widowControl/>
        <w:ind w:hanging="720" w:start="720" w:end="0"/>
        <w:rPr>
          <w:sz w:val="24"/>
          <w:szCs w:val="24"/>
          <w:u w:val="single"/>
        </w:rPr>
      </w:pPr>
      <w:r>
        <w:rPr>
          <w:sz w:val="24"/>
          <w:szCs w:val="24"/>
          <w:u w:val="single"/>
        </w:rPr>
        <w:t>Retained Earnings</w:t>
      </w:r>
    </w:p>
    <w:p>
      <w:pPr>
        <w:pStyle w:val="Normal"/>
        <w:widowControl/>
        <w:ind w:hanging="720" w:start="720" w:end="0"/>
        <w:rPr>
          <w:sz w:val="24"/>
          <w:szCs w:val="24"/>
        </w:rPr>
      </w:pPr>
      <w:r>
        <w:rPr>
          <w:sz w:val="24"/>
          <w:szCs w:val="24"/>
        </w:rPr>
        <w:t>Retained earnings is simply the portion of net income that has not been distributed as</w:t>
      </w:r>
    </w:p>
    <w:p>
      <w:pPr>
        <w:pStyle w:val="Normal"/>
        <w:widowControl/>
        <w:ind w:hanging="720" w:start="720" w:end="0"/>
        <w:rPr>
          <w:sz w:val="24"/>
          <w:szCs w:val="24"/>
        </w:rPr>
      </w:pPr>
      <w:r>
        <w:rPr>
          <w:sz w:val="24"/>
          <w:szCs w:val="24"/>
        </w:rPr>
        <w:t>dividends. In 1995, the retained earnings account was affected by the following:</w:t>
      </w:r>
    </w:p>
    <w:p>
      <w:pPr>
        <w:pStyle w:val="Normal"/>
        <w:widowControl/>
        <w:ind w:hanging="720" w:start="720" w:end="0"/>
        <w:rPr>
          <w:sz w:val="24"/>
          <w:szCs w:val="24"/>
        </w:rPr>
      </w:pPr>
      <w:r>
        <w:rPr>
          <w:sz w:val="24"/>
          <w:szCs w:val="24"/>
        </w:rPr>
      </w:r>
    </w:p>
    <w:p>
      <w:pPr>
        <w:pStyle w:val="Normal"/>
        <w:widowControl/>
        <w:numPr>
          <w:ilvl w:val="0"/>
          <w:numId w:val="4"/>
        </w:numPr>
        <w:tabs>
          <w:tab w:val="clear" w:pos="720"/>
          <w:tab w:val="left" w:pos="0" w:leader="none"/>
        </w:tabs>
        <w:ind w:hanging="360" w:start="360"/>
        <w:rPr>
          <w:sz w:val="24"/>
          <w:szCs w:val="24"/>
        </w:rPr>
      </w:pPr>
      <w:r>
        <w:rPr>
          <w:sz w:val="24"/>
          <w:szCs w:val="24"/>
        </w:rPr>
        <w:t>An increase of $1,376,871 in net income</w:t>
      </w:r>
    </w:p>
    <w:p>
      <w:pPr>
        <w:pStyle w:val="Normal"/>
        <w:widowControl/>
        <w:numPr>
          <w:ilvl w:val="0"/>
          <w:numId w:val="4"/>
        </w:numPr>
        <w:tabs>
          <w:tab w:val="clear" w:pos="720"/>
          <w:tab w:val="left" w:pos="0" w:leader="none"/>
        </w:tabs>
        <w:ind w:hanging="360" w:start="360"/>
        <w:rPr>
          <w:sz w:val="24"/>
          <w:szCs w:val="24"/>
        </w:rPr>
      </w:pPr>
      <w:r>
        <w:rPr>
          <w:sz w:val="24"/>
          <w:szCs w:val="24"/>
        </w:rPr>
        <w:t>A reduction in reserve for plant expansion</w:t>
      </w:r>
    </w:p>
    <w:p>
      <w:pPr>
        <w:pStyle w:val="Normal"/>
        <w:widowControl/>
        <w:numPr>
          <w:ilvl w:val="0"/>
          <w:numId w:val="4"/>
        </w:numPr>
        <w:tabs>
          <w:tab w:val="clear" w:pos="720"/>
          <w:tab w:val="left" w:pos="0" w:leader="none"/>
        </w:tabs>
        <w:ind w:hanging="360" w:start="360"/>
        <w:rPr>
          <w:sz w:val="24"/>
          <w:szCs w:val="24"/>
        </w:rPr>
      </w:pPr>
      <w:r>
        <w:rPr>
          <w:sz w:val="24"/>
          <w:szCs w:val="24"/>
        </w:rPr>
        <w:t>Cash dividends for common and preferred stock holders totaled $443,753.</w:t>
      </w:r>
    </w:p>
    <w:p>
      <w:pPr>
        <w:pStyle w:val="Normal"/>
        <w:widowControl/>
        <w:numPr>
          <w:ilvl w:val="0"/>
          <w:numId w:val="4"/>
        </w:numPr>
        <w:tabs>
          <w:tab w:val="clear" w:pos="720"/>
          <w:tab w:val="left" w:pos="0" w:leader="none"/>
        </w:tabs>
        <w:ind w:hanging="360" w:start="360"/>
        <w:rPr>
          <w:sz w:val="24"/>
          <w:szCs w:val="24"/>
        </w:rPr>
      </w:pPr>
      <w:r>
        <w:rPr>
          <w:sz w:val="24"/>
          <w:szCs w:val="24"/>
        </w:rPr>
        <w:t>A charge of $711,816 to pay for additional stock issued due to stock split</w:t>
      </w:r>
    </w:p>
    <w:p>
      <w:pPr>
        <w:pStyle w:val="Normal"/>
        <w:widowControl/>
        <w:ind w:hanging="720" w:start="720" w:end="0"/>
        <w:rPr>
          <w:sz w:val="24"/>
          <w:szCs w:val="24"/>
        </w:rPr>
      </w:pPr>
      <w:r>
        <w:rPr>
          <w:sz w:val="24"/>
          <w:szCs w:val="24"/>
        </w:rPr>
      </w:r>
    </w:p>
    <w:p>
      <w:pPr>
        <w:pStyle w:val="Normal"/>
        <w:widowControl/>
        <w:ind w:hanging="720" w:start="720" w:end="0"/>
        <w:rPr>
          <w:sz w:val="24"/>
          <w:szCs w:val="24"/>
        </w:rPr>
      </w:pPr>
      <w:r>
        <w:rPr>
          <w:sz w:val="24"/>
          <w:szCs w:val="24"/>
        </w:rPr>
        <w:t>Earnings less dividends distributed = $4,997,457</w:t>
      </w:r>
    </w:p>
    <w:p>
      <w:pPr>
        <w:pStyle w:val="Normal"/>
        <w:widowControl/>
        <w:ind w:hanging="720" w:start="720" w:end="0"/>
        <w:rPr>
          <w:sz w:val="24"/>
          <w:szCs w:val="24"/>
        </w:rPr>
      </w:pPr>
      <w:r>
        <w:rPr>
          <w:sz w:val="24"/>
          <w:szCs w:val="24"/>
        </w:rPr>
      </w:r>
    </w:p>
    <w:p>
      <w:pPr>
        <w:pStyle w:val="Normal"/>
        <w:widowControl/>
        <w:ind w:hanging="720" w:start="720" w:end="0"/>
        <w:rPr>
          <w:sz w:val="24"/>
          <w:szCs w:val="24"/>
        </w:rPr>
      </w:pPr>
      <w:r>
        <w:rPr>
          <w:sz w:val="24"/>
          <w:szCs w:val="24"/>
          <w:u w:val="single"/>
        </w:rPr>
        <w:t>Treasury Stock</w:t>
      </w:r>
    </w:p>
    <w:p>
      <w:pPr>
        <w:pStyle w:val="Normal"/>
        <w:widowControl/>
        <w:tabs>
          <w:tab w:val="left" w:pos="720" w:leader="none"/>
        </w:tabs>
        <w:rPr>
          <w:sz w:val="24"/>
          <w:szCs w:val="24"/>
        </w:rPr>
      </w:pPr>
      <w:r>
        <w:rPr>
          <w:sz w:val="24"/>
          <w:szCs w:val="24"/>
        </w:rPr>
        <w:t xml:space="preserve">Treasury stock is company stock that is not outstanding, but has not yet been retired.  The original treasury stock was created when the company first bought back stock from the market. In 1995, 600 shares of treasury stock were sold, leaving the total number of treasury shares at the April 30,1995 at 4,482. Value of stock that Nutra Foods issued, then repurchased on the open market = 4,482*28 = $125,496 </w:t>
      </w:r>
    </w:p>
    <w:p>
      <w:pPr>
        <w:pStyle w:val="Normal"/>
        <w:widowControl/>
        <w:ind w:hanging="720" w:start="720" w:end="0"/>
        <w:rPr>
          <w:sz w:val="24"/>
          <w:szCs w:val="24"/>
        </w:rPr>
      </w:pPr>
      <w:r>
        <w:rPr>
          <w:sz w:val="24"/>
          <w:szCs w:val="24"/>
        </w:rPr>
      </w:r>
    </w:p>
    <w:p>
      <w:pPr>
        <w:pStyle w:val="Normal"/>
        <w:widowControl/>
        <w:ind w:hanging="720" w:start="720" w:end="0"/>
        <w:rPr>
          <w:sz w:val="24"/>
          <w:szCs w:val="24"/>
        </w:rPr>
      </w:pPr>
      <w:r>
        <w:rPr>
          <w:i/>
          <w:iCs/>
          <w:sz w:val="24"/>
          <w:szCs w:val="24"/>
        </w:rPr>
        <w:t>2.b. Explain changes during the year ended April 30, 1995.</w:t>
      </w:r>
    </w:p>
    <w:p>
      <w:pPr>
        <w:pStyle w:val="Normal"/>
        <w:widowControl/>
        <w:ind w:hanging="720" w:start="720" w:end="0"/>
        <w:rPr>
          <w:sz w:val="24"/>
          <w:szCs w:val="24"/>
        </w:rPr>
      </w:pPr>
      <w:r>
        <w:rPr>
          <w:sz w:val="24"/>
          <w:szCs w:val="24"/>
        </w:rPr>
      </w:r>
    </w:p>
    <w:p>
      <w:pPr>
        <w:pStyle w:val="Normal"/>
        <w:widowControl/>
        <w:numPr>
          <w:ilvl w:val="0"/>
          <w:numId w:val="5"/>
        </w:numPr>
        <w:tabs>
          <w:tab w:val="clear" w:pos="720"/>
          <w:tab w:val="left" w:pos="0" w:leader="none"/>
        </w:tabs>
        <w:ind w:hanging="720" w:start="720" w:end="0"/>
        <w:rPr>
          <w:sz w:val="24"/>
          <w:szCs w:val="24"/>
        </w:rPr>
      </w:pPr>
      <w:r>
        <w:rPr>
          <w:sz w:val="24"/>
          <w:szCs w:val="24"/>
        </w:rPr>
        <w:t>Sold 600 shares of common treasury stock for a gain of $17,716 (added to Capital in Excess of Par)</w:t>
      </w:r>
    </w:p>
    <w:p>
      <w:pPr>
        <w:pStyle w:val="Normal"/>
        <w:widowControl/>
        <w:numPr>
          <w:ilvl w:val="0"/>
          <w:numId w:val="5"/>
        </w:numPr>
        <w:tabs>
          <w:tab w:val="clear" w:pos="720"/>
          <w:tab w:val="left" w:pos="0" w:leader="none"/>
        </w:tabs>
        <w:ind w:hanging="720" w:start="720" w:end="0"/>
        <w:rPr>
          <w:sz w:val="24"/>
          <w:szCs w:val="24"/>
        </w:rPr>
      </w:pPr>
      <w:r>
        <w:rPr>
          <w:sz w:val="24"/>
          <w:szCs w:val="24"/>
        </w:rPr>
        <w:t>Repurchased 245 shares of  preferred stock for a gain of $4,003 (added to Capital in Excess of Par)</w:t>
      </w:r>
    </w:p>
    <w:p>
      <w:pPr>
        <w:pStyle w:val="Normal"/>
        <w:widowControl/>
        <w:numPr>
          <w:ilvl w:val="0"/>
          <w:numId w:val="5"/>
        </w:numPr>
        <w:tabs>
          <w:tab w:val="clear" w:pos="720"/>
          <w:tab w:val="left" w:pos="0" w:leader="none"/>
        </w:tabs>
        <w:ind w:hanging="720" w:start="720" w:end="0"/>
        <w:rPr>
          <w:sz w:val="24"/>
          <w:szCs w:val="24"/>
        </w:rPr>
      </w:pPr>
      <w:r>
        <w:rPr>
          <w:sz w:val="24"/>
          <w:szCs w:val="24"/>
        </w:rPr>
        <w:t>Removed 2,033,324 from “Restricted for Plant Expense” retained earnings account and transferred to “Unappropriated” retained earnings account (increase in “Unappropriated” account)</w:t>
      </w:r>
    </w:p>
    <w:p>
      <w:pPr>
        <w:pStyle w:val="Normal"/>
        <w:widowControl/>
        <w:numPr>
          <w:ilvl w:val="0"/>
          <w:numId w:val="5"/>
        </w:numPr>
        <w:tabs>
          <w:tab w:val="clear" w:pos="720"/>
          <w:tab w:val="left" w:pos="0" w:leader="none"/>
        </w:tabs>
        <w:ind w:hanging="720" w:start="720" w:end="0"/>
        <w:rPr>
          <w:sz w:val="24"/>
          <w:szCs w:val="24"/>
        </w:rPr>
      </w:pPr>
      <w:r>
        <w:rPr>
          <w:sz w:val="24"/>
          <w:szCs w:val="24"/>
        </w:rPr>
        <w:t>Executed a 3-2 stock split (increase in number of common shares; increase in par value, decrease in capital in excess of par)</w:t>
      </w:r>
    </w:p>
    <w:p>
      <w:pPr>
        <w:pStyle w:val="Normal"/>
        <w:widowControl/>
        <w:numPr>
          <w:ilvl w:val="0"/>
          <w:numId w:val="5"/>
        </w:numPr>
        <w:tabs>
          <w:tab w:val="clear" w:pos="720"/>
          <w:tab w:val="left" w:pos="0" w:leader="none"/>
        </w:tabs>
        <w:ind w:hanging="720" w:start="720" w:end="0"/>
        <w:rPr>
          <w:sz w:val="24"/>
          <w:szCs w:val="24"/>
        </w:rPr>
      </w:pPr>
      <w:r>
        <w:rPr>
          <w:sz w:val="24"/>
          <w:szCs w:val="24"/>
        </w:rPr>
        <w:t>Paid $4/share dividend to holders of preferred stock (decrease in unappropriated retained earnings)</w:t>
      </w:r>
    </w:p>
    <w:p>
      <w:pPr>
        <w:pStyle w:val="Normal"/>
        <w:widowControl/>
        <w:numPr>
          <w:ilvl w:val="0"/>
          <w:numId w:val="5"/>
        </w:numPr>
        <w:tabs>
          <w:tab w:val="clear" w:pos="720"/>
          <w:tab w:val="left" w:pos="0" w:leader="none"/>
        </w:tabs>
        <w:ind w:hanging="720" w:start="720" w:end="0"/>
        <w:rPr>
          <w:sz w:val="24"/>
          <w:szCs w:val="24"/>
        </w:rPr>
      </w:pPr>
      <w:r>
        <w:rPr>
          <w:sz w:val="24"/>
          <w:szCs w:val="24"/>
        </w:rPr>
        <w:t>Paid $0.94/share dividend to holders of common stock (decrease in unappropriated retained earnings)</w:t>
      </w:r>
    </w:p>
    <w:p>
      <w:pPr>
        <w:pStyle w:val="Normal"/>
        <w:widowControl/>
        <w:numPr>
          <w:ilvl w:val="0"/>
          <w:numId w:val="5"/>
        </w:numPr>
        <w:tabs>
          <w:tab w:val="clear" w:pos="720"/>
          <w:tab w:val="left" w:pos="0" w:leader="none"/>
        </w:tabs>
        <w:ind w:hanging="360" w:start="720" w:end="0"/>
        <w:rPr>
          <w:sz w:val="24"/>
          <w:szCs w:val="24"/>
        </w:rPr>
      </w:pPr>
      <w:r>
        <w:rPr>
          <w:sz w:val="24"/>
          <w:szCs w:val="24"/>
        </w:rPr>
        <w:t>Paid 5% stock dividend to common shareholders (increase in number of common shares, increase in par value, increase in capital in excess of par value, and decrease in unappropriated retained earnings)</w:t>
      </w:r>
    </w:p>
    <w:p>
      <w:pPr>
        <w:pStyle w:val="Normal"/>
        <w:widowControl/>
        <w:rPr>
          <w:sz w:val="24"/>
          <w:szCs w:val="24"/>
        </w:rPr>
      </w:pPr>
      <w:r>
        <w:rPr>
          <w:sz w:val="24"/>
          <w:szCs w:val="24"/>
        </w:rPr>
      </w:r>
    </w:p>
    <w:p>
      <w:pPr>
        <w:pStyle w:val="BodyTextIndent"/>
        <w:widowControl/>
        <w:ind w:hanging="360" w:end="0"/>
        <w:rPr/>
      </w:pPr>
      <w:r>
        <w:rPr/>
        <w:t>3.</w:t>
        <w:tab/>
        <w:t>Contrast Nutra’s methods of reporting preferred treasury stock and common treasury  stock.</w:t>
      </w:r>
    </w:p>
    <w:p>
      <w:pPr>
        <w:pStyle w:val="Normal"/>
        <w:widowControl/>
        <w:ind w:hanging="720" w:start="720" w:end="0"/>
        <w:rPr>
          <w:sz w:val="24"/>
          <w:szCs w:val="24"/>
        </w:rPr>
      </w:pPr>
      <w:r>
        <w:rPr>
          <w:sz w:val="24"/>
          <w:szCs w:val="24"/>
        </w:rPr>
      </w:r>
    </w:p>
    <w:p>
      <w:pPr>
        <w:pStyle w:val="Normal"/>
        <w:widowControl/>
        <w:rPr>
          <w:sz w:val="24"/>
          <w:szCs w:val="24"/>
        </w:rPr>
      </w:pPr>
      <w:r>
        <w:rPr>
          <w:sz w:val="24"/>
          <w:szCs w:val="24"/>
        </w:rPr>
        <w:t>Common treasury stock reported as a separated line item and recorded at market value (4,482 shares * $28/share = $125,496).</w:t>
      </w:r>
    </w:p>
    <w:p>
      <w:pPr>
        <w:pStyle w:val="Normal"/>
        <w:widowControl/>
        <w:rPr>
          <w:sz w:val="24"/>
          <w:szCs w:val="24"/>
        </w:rPr>
      </w:pPr>
      <w:r>
        <w:rPr>
          <w:sz w:val="24"/>
          <w:szCs w:val="24"/>
        </w:rPr>
        <w:tab/>
      </w:r>
    </w:p>
    <w:p>
      <w:pPr>
        <w:pStyle w:val="Normal"/>
        <w:widowControl/>
        <w:rPr>
          <w:sz w:val="24"/>
          <w:szCs w:val="24"/>
        </w:rPr>
      </w:pPr>
      <w:r>
        <w:rPr>
          <w:sz w:val="24"/>
          <w:szCs w:val="24"/>
        </w:rPr>
        <w:t>Preferred treasury stock is not reported as a separate line item and is subtracted on the basis of original cost (198 shares * 100/share = $19,800).</w:t>
      </w:r>
    </w:p>
    <w:p>
      <w:pPr>
        <w:pStyle w:val="Normal"/>
        <w:widowControl/>
        <w:rPr>
          <w:sz w:val="24"/>
          <w:szCs w:val="24"/>
        </w:rPr>
      </w:pPr>
      <w:r>
        <w:rPr>
          <w:sz w:val="24"/>
          <w:szCs w:val="24"/>
        </w:rPr>
        <w:tab/>
      </w:r>
    </w:p>
    <w:p>
      <w:pPr>
        <w:pStyle w:val="Normal"/>
        <w:widowControl/>
        <w:rPr>
          <w:sz w:val="24"/>
          <w:szCs w:val="24"/>
        </w:rPr>
      </w:pPr>
      <w:r>
        <w:rPr>
          <w:sz w:val="24"/>
          <w:szCs w:val="24"/>
        </w:rPr>
        <w:t>Each is subtracted from stockholders’ equity.</w:t>
      </w:r>
    </w:p>
    <w:p>
      <w:pPr>
        <w:pStyle w:val="Normal"/>
        <w:widowControl/>
        <w:ind w:hanging="720" w:start="720" w:end="0"/>
        <w:rPr>
          <w:sz w:val="24"/>
          <w:szCs w:val="24"/>
        </w:rPr>
      </w:pPr>
      <w:r>
        <w:rPr>
          <w:sz w:val="24"/>
          <w:szCs w:val="24"/>
        </w:rPr>
      </w:r>
    </w:p>
    <w:p>
      <w:pPr>
        <w:pStyle w:val="BodyTextIndent2"/>
        <w:widowControl/>
        <w:rPr/>
      </w:pPr>
      <w:r>
        <w:rPr/>
        <w:t>4.</w:t>
        <w:tab/>
        <w:t>What is the effect of Nutra’s acquisition of treasury stock upon investor McCowan’s holdings?</w:t>
      </w:r>
    </w:p>
    <w:p>
      <w:pPr>
        <w:pStyle w:val="Normal"/>
        <w:widowControl/>
        <w:rPr>
          <w:sz w:val="24"/>
          <w:szCs w:val="24"/>
        </w:rPr>
      </w:pPr>
      <w:r>
        <w:rPr>
          <w:sz w:val="24"/>
          <w:szCs w:val="24"/>
        </w:rPr>
      </w:r>
    </w:p>
    <w:p>
      <w:pPr>
        <w:pStyle w:val="Normal"/>
        <w:widowControl/>
        <w:rPr>
          <w:color w:val="FF0000"/>
          <w:sz w:val="24"/>
          <w:szCs w:val="24"/>
        </w:rPr>
      </w:pPr>
      <w:r>
        <w:rPr>
          <w:color w:val="000000"/>
          <w:sz w:val="24"/>
          <w:szCs w:val="24"/>
        </w:rPr>
        <w:t>During the year, Nutra only purchased preferred treasury stock.  This would increase the value of McCowan’s shares by leaving more retained earnings available for distribution to holders of common stock, and reducing the claims on the firms assets (e.g., preference in dividends and liquidation).</w:t>
      </w:r>
    </w:p>
    <w:p>
      <w:pPr>
        <w:pStyle w:val="Normal"/>
        <w:widowControl/>
        <w:ind w:hanging="360" w:start="360" w:end="0"/>
        <w:rPr>
          <w:color w:val="FF0000"/>
          <w:sz w:val="24"/>
          <w:szCs w:val="24"/>
        </w:rPr>
      </w:pPr>
      <w:r>
        <w:rPr>
          <w:color w:val="FF0000"/>
          <w:sz w:val="24"/>
          <w:szCs w:val="24"/>
        </w:rPr>
      </w:r>
    </w:p>
    <w:p>
      <w:pPr>
        <w:pStyle w:val="Normal"/>
        <w:widowControl/>
        <w:numPr>
          <w:ilvl w:val="0"/>
          <w:numId w:val="6"/>
        </w:numPr>
        <w:tabs>
          <w:tab w:val="clear" w:pos="720"/>
          <w:tab w:val="left" w:pos="0" w:leader="none"/>
        </w:tabs>
        <w:ind w:hanging="360" w:start="720" w:end="0"/>
        <w:rPr>
          <w:i/>
          <w:i/>
          <w:iCs/>
          <w:sz w:val="24"/>
          <w:szCs w:val="24"/>
        </w:rPr>
      </w:pPr>
      <w:r>
        <w:rPr>
          <w:i/>
          <w:iCs/>
          <w:sz w:val="24"/>
          <w:szCs w:val="24"/>
        </w:rPr>
        <w:t>Suggest improvements Nutra might make in reporting stockholders’ equity information on its balance sheet.</w:t>
      </w:r>
    </w:p>
    <w:p>
      <w:pPr>
        <w:pStyle w:val="Normal"/>
        <w:widowControl/>
        <w:rPr>
          <w:i/>
          <w:i/>
          <w:iCs/>
          <w:sz w:val="24"/>
          <w:szCs w:val="24"/>
        </w:rPr>
      </w:pPr>
      <w:r>
        <w:rPr>
          <w:i/>
          <w:iCs/>
          <w:sz w:val="24"/>
          <w:szCs w:val="24"/>
        </w:rPr>
      </w:r>
    </w:p>
    <w:p>
      <w:pPr>
        <w:pStyle w:val="BodyTextIndent"/>
        <w:widowControl/>
        <w:ind w:start="0" w:end="0"/>
        <w:rPr>
          <w:i w:val="false"/>
          <w:i w:val="false"/>
          <w:iCs w:val="false"/>
        </w:rPr>
      </w:pPr>
      <w:r>
        <w:rPr>
          <w:i w:val="false"/>
          <w:iCs w:val="false"/>
        </w:rPr>
        <w:t>Nutra Foods made many changes in its stockholders’ equity accounts in 1995.  These changes have had large effects on the number of shares issued, the par value of issued shares, and the capital in excess of par accounts.  By examining the balance sheet alone, without looking at the attached exhibit 2, it is impossible for the user of the financial statements to reconcile these accounts with the previous year’s.  Increases in the number of shares issued either by split, stock dividend, or sale of treasury stock need to be explained in the footnotes or in the definition lines.  By merely comparing them to the previous year, the reader would not be able to determine whether or not the change occurred from an equity sale or a split.  Also, the changes to these accounts by purchasing and then retiring the preferred stock is also not explained in the note.  These changes have a significant impact on the owner’s equity section.  If the user had not noticed the splits and dividends they may not be able to determine the outcome from the information provided.</w:t>
      </w:r>
    </w:p>
    <w:p>
      <w:pPr>
        <w:pStyle w:val="Normal"/>
        <w:widowControl/>
        <w:rPr>
          <w:i/>
          <w:i/>
          <w:iCs/>
        </w:rPr>
      </w:pPr>
      <w:r>
        <w:rPr>
          <w:i/>
          <w:iCs/>
        </w:rPr>
      </w:r>
    </w:p>
    <w:p>
      <w:pPr>
        <w:pStyle w:val="Normal"/>
        <w:widowControl/>
        <w:rPr>
          <w:sz w:val="24"/>
          <w:szCs w:val="24"/>
        </w:rPr>
      </w:pPr>
      <w:r>
        <w:rPr>
          <w:sz w:val="24"/>
          <w:szCs w:val="24"/>
        </w:rPr>
        <w:t xml:space="preserve">  </w:t>
      </w:r>
    </w:p>
    <w:p>
      <w:pPr>
        <w:pStyle w:val="Normal"/>
        <w:widowControl/>
        <w:numPr>
          <w:ilvl w:val="0"/>
          <w:numId w:val="7"/>
        </w:numPr>
        <w:tabs>
          <w:tab w:val="clear" w:pos="720"/>
          <w:tab w:val="left" w:pos="0" w:leader="none"/>
        </w:tabs>
        <w:ind w:hanging="360" w:start="720" w:end="0"/>
        <w:rPr>
          <w:i/>
          <w:i/>
          <w:iCs/>
          <w:sz w:val="24"/>
          <w:szCs w:val="24"/>
        </w:rPr>
      </w:pPr>
      <w:r>
        <w:rPr>
          <w:i/>
          <w:iCs/>
          <w:sz w:val="24"/>
          <w:szCs w:val="24"/>
        </w:rPr>
        <w:t>How does the issuance of stock options to the management change in the company’s net worth account at:</w:t>
      </w:r>
    </w:p>
    <w:p>
      <w:pPr>
        <w:pStyle w:val="Normal"/>
        <w:widowControl/>
        <w:rPr>
          <w:i/>
          <w:i/>
          <w:iCs/>
          <w:sz w:val="24"/>
          <w:szCs w:val="24"/>
        </w:rPr>
      </w:pPr>
      <w:r>
        <w:rPr>
          <w:i/>
          <w:iCs/>
          <w:sz w:val="24"/>
          <w:szCs w:val="24"/>
        </w:rPr>
      </w:r>
    </w:p>
    <w:p>
      <w:pPr>
        <w:pStyle w:val="Normal"/>
        <w:widowControl/>
        <w:numPr>
          <w:ilvl w:val="0"/>
          <w:numId w:val="8"/>
        </w:numPr>
        <w:tabs>
          <w:tab w:val="clear" w:pos="720"/>
          <w:tab w:val="left" w:pos="0" w:leader="none"/>
        </w:tabs>
        <w:ind w:hanging="780" w:start="840" w:end="0"/>
        <w:rPr>
          <w:i/>
          <w:i/>
          <w:iCs/>
          <w:sz w:val="24"/>
          <w:szCs w:val="24"/>
        </w:rPr>
      </w:pPr>
      <w:r>
        <w:rPr>
          <w:i/>
          <w:iCs/>
          <w:sz w:val="24"/>
          <w:szCs w:val="24"/>
        </w:rPr>
        <w:t>date of issuance</w:t>
      </w:r>
    </w:p>
    <w:p>
      <w:pPr>
        <w:pStyle w:val="Normal"/>
        <w:widowControl/>
        <w:numPr>
          <w:ilvl w:val="0"/>
          <w:numId w:val="8"/>
        </w:numPr>
        <w:tabs>
          <w:tab w:val="clear" w:pos="720"/>
          <w:tab w:val="left" w:pos="0" w:leader="none"/>
        </w:tabs>
        <w:ind w:hanging="780" w:start="840" w:end="0"/>
        <w:rPr>
          <w:i/>
          <w:i/>
          <w:iCs/>
          <w:sz w:val="24"/>
          <w:szCs w:val="24"/>
        </w:rPr>
      </w:pPr>
      <w:r>
        <w:rPr>
          <w:i/>
          <w:iCs/>
          <w:sz w:val="24"/>
          <w:szCs w:val="24"/>
        </w:rPr>
        <w:t>date options are first exercisable</w:t>
      </w:r>
    </w:p>
    <w:p>
      <w:pPr>
        <w:pStyle w:val="Normal"/>
        <w:widowControl/>
        <w:numPr>
          <w:ilvl w:val="0"/>
          <w:numId w:val="8"/>
        </w:numPr>
        <w:tabs>
          <w:tab w:val="clear" w:pos="720"/>
          <w:tab w:val="left" w:pos="0" w:leader="none"/>
        </w:tabs>
        <w:ind w:hanging="420" w:start="840" w:end="0"/>
        <w:rPr>
          <w:i/>
          <w:i/>
          <w:iCs/>
          <w:sz w:val="24"/>
          <w:szCs w:val="24"/>
        </w:rPr>
      </w:pPr>
      <w:r>
        <w:rPr>
          <w:i/>
          <w:iCs/>
          <w:sz w:val="24"/>
          <w:szCs w:val="24"/>
        </w:rPr>
        <w:t>date exercized</w:t>
      </w:r>
    </w:p>
    <w:p>
      <w:pPr>
        <w:pStyle w:val="Normal"/>
        <w:widowControl/>
        <w:rPr>
          <w:i/>
          <w:i/>
          <w:iCs/>
          <w:sz w:val="24"/>
          <w:szCs w:val="24"/>
        </w:rPr>
      </w:pPr>
      <w:r>
        <w:rPr>
          <w:i/>
          <w:iCs/>
          <w:sz w:val="24"/>
          <w:szCs w:val="24"/>
        </w:rPr>
      </w:r>
    </w:p>
    <w:p>
      <w:pPr>
        <w:pStyle w:val="BodyTextIndent"/>
        <w:widowControl/>
        <w:ind w:start="0" w:end="0"/>
        <w:rPr/>
      </w:pPr>
      <w:r>
        <w:rPr/>
        <w:t>Assume options to buy 2,000 shares are first exercisable in 1995.  (These were issued originally at a price equal to the then current market price of $20.)  What would be the accounting entry for these options if they were exercised during 1995, when the market price of Nutra stock was 426?  How did the company originally account for the granting of these options?</w:t>
      </w:r>
    </w:p>
    <w:p>
      <w:pPr>
        <w:pStyle w:val="Normal"/>
        <w:widowControl/>
        <w:ind w:start="360" w:end="0"/>
        <w:rPr>
          <w:i/>
          <w:i/>
          <w:iCs/>
          <w:sz w:val="24"/>
          <w:szCs w:val="24"/>
        </w:rPr>
      </w:pPr>
      <w:r>
        <w:rPr>
          <w:i/>
          <w:iCs/>
          <w:sz w:val="24"/>
          <w:szCs w:val="24"/>
        </w:rPr>
      </w:r>
    </w:p>
    <w:p>
      <w:pPr>
        <w:pStyle w:val="Normal"/>
        <w:widowControl/>
        <w:ind w:start="720" w:end="0"/>
        <w:rPr>
          <w:i/>
          <w:i/>
          <w:iCs/>
          <w:sz w:val="24"/>
          <w:szCs w:val="24"/>
        </w:rPr>
      </w:pPr>
      <w:r>
        <w:rPr>
          <w:i/>
          <w:iCs/>
          <w:sz w:val="24"/>
          <w:szCs w:val="24"/>
        </w:rPr>
      </w:r>
    </w:p>
    <w:p>
      <w:pPr>
        <w:pStyle w:val="Normal"/>
        <w:widowControl/>
        <w:numPr>
          <w:ilvl w:val="0"/>
          <w:numId w:val="9"/>
        </w:numPr>
        <w:tabs>
          <w:tab w:val="clear" w:pos="720"/>
          <w:tab w:val="left" w:pos="0" w:leader="none"/>
        </w:tabs>
        <w:ind w:hanging="810" w:start="900" w:end="0"/>
        <w:rPr>
          <w:b/>
          <w:bCs/>
          <w:sz w:val="24"/>
          <w:szCs w:val="24"/>
        </w:rPr>
      </w:pPr>
      <w:r>
        <w:rPr>
          <w:b/>
          <w:bCs/>
          <w:sz w:val="24"/>
          <w:szCs w:val="24"/>
        </w:rPr>
        <w:t>Date of issuance</w:t>
      </w:r>
    </w:p>
    <w:p>
      <w:pPr>
        <w:pStyle w:val="Normal"/>
        <w:widowControl/>
        <w:rPr>
          <w:sz w:val="24"/>
          <w:szCs w:val="24"/>
        </w:rPr>
      </w:pPr>
      <w:r>
        <w:rPr>
          <w:sz w:val="24"/>
          <w:szCs w:val="24"/>
        </w:rPr>
      </w:r>
    </w:p>
    <w:p>
      <w:pPr>
        <w:pStyle w:val="BodyTextIndent3"/>
        <w:widowControl/>
        <w:ind w:start="0" w:end="0"/>
        <w:rPr/>
      </w:pPr>
      <w:r>
        <w:rPr/>
        <w:t>FASB Statement No. 123 deals with the treatment of stock based compensation plans.  Under the statement the issuing company must choose to use either the Intrinsic Value Method that previously existed under APB Opinion No. 25 or the Fair Value Method.  If the company chooses the intrinsic method it must also provided pro forma information on the impact on net income and earnings per share numbers.</w:t>
      </w:r>
    </w:p>
    <w:p>
      <w:pPr>
        <w:pStyle w:val="Normal"/>
        <w:widowControl/>
        <w:rPr>
          <w:sz w:val="24"/>
          <w:szCs w:val="24"/>
        </w:rPr>
      </w:pPr>
      <w:r>
        <w:rPr>
          <w:sz w:val="24"/>
          <w:szCs w:val="24"/>
        </w:rPr>
      </w:r>
    </w:p>
    <w:p>
      <w:pPr>
        <w:pStyle w:val="Normal"/>
        <w:widowControl/>
        <w:rPr>
          <w:sz w:val="24"/>
          <w:szCs w:val="24"/>
        </w:rPr>
      </w:pPr>
      <w:r>
        <w:rPr>
          <w:sz w:val="24"/>
          <w:szCs w:val="24"/>
        </w:rPr>
        <w:t>Under APB No. 25 there are test to determine if the plan is compensatory or non-compensatory if the number of options and exercise price is known on day of issuance.  These tests include whether it is open to most employees with minimal standards, equal participation of all employees, reasonable exercise periods, and are granted at market price.  If the option meets all of these requirements it is determined to be a non-compensatory option and does not require an accounting entry on the day of issuance.</w:t>
      </w:r>
    </w:p>
    <w:p>
      <w:pPr>
        <w:pStyle w:val="Normal"/>
        <w:widowControl/>
        <w:ind w:start="720" w:end="0"/>
        <w:rPr>
          <w:sz w:val="24"/>
          <w:szCs w:val="24"/>
        </w:rPr>
      </w:pPr>
      <w:r>
        <w:rPr>
          <w:sz w:val="24"/>
          <w:szCs w:val="24"/>
        </w:rPr>
      </w:r>
    </w:p>
    <w:p>
      <w:pPr>
        <w:pStyle w:val="Normal"/>
        <w:widowControl/>
        <w:rPr>
          <w:sz w:val="24"/>
          <w:szCs w:val="24"/>
        </w:rPr>
      </w:pPr>
      <w:r>
        <w:rPr>
          <w:sz w:val="24"/>
          <w:szCs w:val="24"/>
        </w:rPr>
        <w:t>If the option does not meet these requirements they are considered compensatory.  Under this plan, the difference between the exercise price and the market price at award times the number of option needs to be recognized as deferred compensation on the day of issuance and amortized over the life of the options.</w:t>
      </w:r>
    </w:p>
    <w:p>
      <w:pPr>
        <w:pStyle w:val="Normal"/>
        <w:widowControl/>
        <w:rPr>
          <w:sz w:val="24"/>
          <w:szCs w:val="24"/>
        </w:rPr>
      </w:pPr>
      <w:r>
        <w:rPr>
          <w:sz w:val="24"/>
          <w:szCs w:val="24"/>
        </w:rPr>
      </w:r>
    </w:p>
    <w:p>
      <w:pPr>
        <w:pStyle w:val="BodyTextIndent3"/>
        <w:widowControl/>
        <w:ind w:start="0" w:end="0"/>
        <w:rPr/>
      </w:pPr>
      <w:r>
        <w:rPr/>
        <w:t>If number of options or exercisable date is not know at issuance, there is no recording at issuance.  After each period, an expense is estimated at the current value of the options at the end of the period.</w:t>
      </w:r>
    </w:p>
    <w:p>
      <w:pPr>
        <w:pStyle w:val="Normal"/>
        <w:widowControl/>
        <w:ind w:hanging="360" w:start="360" w:end="0"/>
        <w:rPr>
          <w:i/>
          <w:i/>
          <w:iCs/>
          <w:sz w:val="24"/>
          <w:szCs w:val="24"/>
        </w:rPr>
      </w:pPr>
      <w:r>
        <w:rPr>
          <w:i/>
          <w:iCs/>
          <w:sz w:val="24"/>
          <w:szCs w:val="24"/>
        </w:rPr>
      </w:r>
    </w:p>
    <w:p>
      <w:pPr>
        <w:pStyle w:val="Normal"/>
        <w:widowControl/>
        <w:numPr>
          <w:ilvl w:val="0"/>
          <w:numId w:val="10"/>
        </w:numPr>
        <w:tabs>
          <w:tab w:val="clear" w:pos="720"/>
          <w:tab w:val="left" w:pos="0" w:leader="none"/>
        </w:tabs>
        <w:ind w:hanging="450" w:start="900" w:end="0"/>
        <w:rPr>
          <w:b/>
          <w:bCs/>
          <w:sz w:val="24"/>
          <w:szCs w:val="24"/>
        </w:rPr>
      </w:pPr>
      <w:r>
        <w:rPr>
          <w:b/>
          <w:bCs/>
          <w:sz w:val="24"/>
          <w:szCs w:val="24"/>
        </w:rPr>
        <w:t>Date options are first exercisable</w:t>
      </w:r>
    </w:p>
    <w:p>
      <w:pPr>
        <w:pStyle w:val="Normal"/>
        <w:widowControl/>
        <w:rPr>
          <w:b/>
          <w:bCs/>
          <w:sz w:val="24"/>
          <w:szCs w:val="24"/>
        </w:rPr>
      </w:pPr>
      <w:r>
        <w:rPr>
          <w:b/>
          <w:bCs/>
          <w:sz w:val="24"/>
          <w:szCs w:val="24"/>
        </w:rPr>
      </w:r>
    </w:p>
    <w:p>
      <w:pPr>
        <w:pStyle w:val="Normal"/>
        <w:widowControl/>
        <w:rPr>
          <w:sz w:val="24"/>
          <w:szCs w:val="24"/>
        </w:rPr>
      </w:pPr>
      <w:r>
        <w:rPr>
          <w:sz w:val="24"/>
          <w:szCs w:val="24"/>
        </w:rPr>
        <w:t xml:space="preserve">At the day the options are first exercisable, neither method requires any recognition unless they are exercised.  </w:t>
      </w:r>
    </w:p>
    <w:p>
      <w:pPr>
        <w:pStyle w:val="Normal"/>
        <w:widowControl/>
        <w:ind w:start="720" w:end="0"/>
        <w:rPr>
          <w:sz w:val="24"/>
          <w:szCs w:val="24"/>
        </w:rPr>
      </w:pPr>
      <w:r>
        <w:rPr>
          <w:sz w:val="24"/>
          <w:szCs w:val="24"/>
        </w:rPr>
      </w:r>
    </w:p>
    <w:p>
      <w:pPr>
        <w:pStyle w:val="Normal"/>
        <w:widowControl/>
        <w:ind w:hanging="630" w:start="720" w:end="0"/>
        <w:rPr/>
      </w:pPr>
      <w:r>
        <w:rPr>
          <w:b/>
          <w:bCs/>
          <w:sz w:val="24"/>
          <w:szCs w:val="24"/>
        </w:rPr>
        <w:t>c)</w:t>
      </w:r>
      <w:r>
        <w:rPr>
          <w:sz w:val="24"/>
          <w:szCs w:val="24"/>
        </w:rPr>
        <w:t xml:space="preserve">   </w:t>
      </w:r>
      <w:r>
        <w:rPr>
          <w:b/>
          <w:bCs/>
          <w:sz w:val="24"/>
          <w:szCs w:val="24"/>
        </w:rPr>
        <w:t>Date exercised</w:t>
      </w:r>
    </w:p>
    <w:p>
      <w:pPr>
        <w:pStyle w:val="Normal"/>
        <w:widowControl/>
        <w:ind w:start="720" w:end="0"/>
        <w:rPr>
          <w:b/>
          <w:bCs/>
          <w:sz w:val="24"/>
          <w:szCs w:val="24"/>
        </w:rPr>
      </w:pPr>
      <w:r>
        <w:rPr>
          <w:b/>
          <w:bCs/>
          <w:sz w:val="24"/>
          <w:szCs w:val="24"/>
        </w:rPr>
      </w:r>
    </w:p>
    <w:p>
      <w:pPr>
        <w:pStyle w:val="Normal"/>
        <w:widowControl/>
        <w:rPr>
          <w:sz w:val="24"/>
          <w:szCs w:val="24"/>
        </w:rPr>
      </w:pPr>
      <w:r>
        <w:rPr>
          <w:sz w:val="24"/>
          <w:szCs w:val="24"/>
        </w:rPr>
        <w:t xml:space="preserve">The day the options are exercised.  The owner’s equity accounts are adjusted to match the changes.   Under the non-compensatory plans, par value sections are adjusted to show the amount of par of the options that are exercised.  The remained of money paid in for the options are placed in to the additional paid in capital section of owner’s equity. </w:t>
      </w:r>
    </w:p>
    <w:p>
      <w:pPr>
        <w:pStyle w:val="Normal"/>
        <w:widowControl/>
        <w:rPr>
          <w:sz w:val="24"/>
          <w:szCs w:val="24"/>
        </w:rPr>
      </w:pPr>
      <w:r>
        <w:rPr>
          <w:sz w:val="24"/>
          <w:szCs w:val="24"/>
        </w:rPr>
      </w:r>
    </w:p>
    <w:p>
      <w:pPr>
        <w:pStyle w:val="Normal"/>
        <w:widowControl/>
        <w:rPr>
          <w:sz w:val="24"/>
          <w:szCs w:val="24"/>
        </w:rPr>
      </w:pPr>
      <w:r>
        <w:rPr>
          <w:sz w:val="24"/>
          <w:szCs w:val="24"/>
        </w:rPr>
        <w:t>Under the variable or compensatory plans, the amount of expense already recognized is emptied out into paid in capital and the stock is issued.</w:t>
      </w:r>
    </w:p>
    <w:p>
      <w:pPr>
        <w:pStyle w:val="Normal"/>
        <w:widowControl/>
        <w:ind w:start="720" w:end="0"/>
        <w:rPr>
          <w:i/>
          <w:i/>
          <w:iCs/>
          <w:sz w:val="24"/>
          <w:szCs w:val="24"/>
        </w:rPr>
      </w:pPr>
      <w:r>
        <w:rPr>
          <w:i/>
          <w:iCs/>
          <w:sz w:val="24"/>
          <w:szCs w:val="24"/>
        </w:rPr>
      </w:r>
    </w:p>
    <w:p>
      <w:pPr>
        <w:pStyle w:val="Normal"/>
        <w:widowControl/>
        <w:ind w:hanging="630" w:start="720" w:end="0"/>
        <w:rPr>
          <w:sz w:val="24"/>
          <w:szCs w:val="24"/>
        </w:rPr>
      </w:pPr>
      <w:r>
        <w:rPr>
          <w:i/>
          <w:iCs/>
          <w:sz w:val="24"/>
          <w:szCs w:val="24"/>
        </w:rPr>
        <w:t>Exercising 2000 shares of stock with exercise price of $20, market price $26.</w:t>
      </w:r>
    </w:p>
    <w:p>
      <w:pPr>
        <w:pStyle w:val="Normal"/>
        <w:widowControl/>
        <w:ind w:start="720" w:end="0"/>
        <w:rPr>
          <w:sz w:val="24"/>
          <w:szCs w:val="24"/>
        </w:rPr>
      </w:pPr>
      <w:r>
        <w:rPr>
          <w:sz w:val="24"/>
          <w:szCs w:val="24"/>
        </w:rPr>
      </w:r>
    </w:p>
    <w:p>
      <w:pPr>
        <w:pStyle w:val="Normal"/>
        <w:widowControl/>
        <w:ind w:start="720" w:end="0"/>
        <w:rPr>
          <w:sz w:val="24"/>
          <w:szCs w:val="24"/>
        </w:rPr>
      </w:pPr>
      <w:r>
        <w:rPr>
          <w:sz w:val="24"/>
          <w:szCs w:val="24"/>
        </w:rPr>
        <w:t>Cash</w:t>
        <w:tab/>
        <w:tab/>
        <w:t>40,000</w:t>
        <w:tab/>
        <w:tab/>
        <w:tab/>
        <w:tab/>
        <w:t xml:space="preserve">            to recognize cash paid in</w:t>
      </w:r>
    </w:p>
    <w:p>
      <w:pPr>
        <w:pStyle w:val="Normal"/>
        <w:widowControl/>
        <w:ind w:start="720" w:end="0"/>
        <w:rPr>
          <w:sz w:val="24"/>
          <w:szCs w:val="24"/>
        </w:rPr>
      </w:pPr>
      <w:r>
        <w:rPr>
          <w:sz w:val="24"/>
          <w:szCs w:val="24"/>
        </w:rPr>
        <w:tab/>
        <w:t>Par Stock</w:t>
        <w:tab/>
        <w:tab/>
        <w:t>10,000</w:t>
        <w:tab/>
        <w:tab/>
        <w:tab/>
        <w:t>Par value $5</w:t>
      </w:r>
    </w:p>
    <w:p>
      <w:pPr>
        <w:pStyle w:val="Normal"/>
        <w:widowControl/>
        <w:ind w:start="720" w:end="0"/>
        <w:rPr>
          <w:sz w:val="24"/>
          <w:szCs w:val="24"/>
        </w:rPr>
      </w:pPr>
      <w:r>
        <w:rPr>
          <w:sz w:val="24"/>
          <w:szCs w:val="24"/>
        </w:rPr>
        <w:tab/>
        <w:t>Capital in Excess</w:t>
        <w:tab/>
        <w:t>30,000</w:t>
      </w:r>
    </w:p>
    <w:p>
      <w:pPr>
        <w:pStyle w:val="Normal"/>
        <w:widowControl/>
        <w:ind w:start="720" w:end="0"/>
        <w:rPr>
          <w:sz w:val="24"/>
          <w:szCs w:val="24"/>
        </w:rPr>
      </w:pPr>
      <w:r>
        <w:rPr>
          <w:sz w:val="24"/>
          <w:szCs w:val="24"/>
        </w:rPr>
      </w:r>
    </w:p>
    <w:p>
      <w:pPr>
        <w:pStyle w:val="Normal"/>
        <w:widowControl/>
        <w:rPr>
          <w:sz w:val="24"/>
          <w:szCs w:val="24"/>
        </w:rPr>
      </w:pPr>
      <w:r>
        <w:rPr>
          <w:sz w:val="24"/>
          <w:szCs w:val="24"/>
        </w:rPr>
        <w:t>There is no recognition of compensation in this example.</w:t>
      </w:r>
    </w:p>
    <w:p>
      <w:pPr>
        <w:pStyle w:val="Normal"/>
        <w:widowControl/>
        <w:ind w:start="720" w:end="0"/>
        <w:rPr>
          <w:sz w:val="24"/>
          <w:szCs w:val="24"/>
        </w:rPr>
      </w:pPr>
      <w:r>
        <w:rPr>
          <w:sz w:val="24"/>
          <w:szCs w:val="24"/>
        </w:rPr>
      </w:r>
    </w:p>
    <w:p>
      <w:pPr>
        <w:pStyle w:val="Normal"/>
        <w:widowControl/>
        <w:rPr>
          <w:sz w:val="24"/>
          <w:szCs w:val="24"/>
        </w:rPr>
      </w:pPr>
      <w:r>
        <w:rPr>
          <w:i/>
          <w:iCs/>
          <w:sz w:val="24"/>
          <w:szCs w:val="24"/>
        </w:rPr>
        <w:t>How did the company originally account for the granting of options?</w:t>
      </w:r>
    </w:p>
    <w:p>
      <w:pPr>
        <w:pStyle w:val="Normal"/>
        <w:widowControl/>
        <w:ind w:start="720" w:end="0"/>
        <w:rPr>
          <w:sz w:val="24"/>
          <w:szCs w:val="24"/>
        </w:rPr>
      </w:pPr>
      <w:r>
        <w:rPr>
          <w:sz w:val="24"/>
          <w:szCs w:val="24"/>
        </w:rPr>
      </w:r>
    </w:p>
    <w:p>
      <w:pPr>
        <w:pStyle w:val="Normal"/>
        <w:widowControl/>
        <w:rPr>
          <w:sz w:val="24"/>
          <w:szCs w:val="24"/>
        </w:rPr>
      </w:pPr>
      <w:r>
        <w:rPr>
          <w:sz w:val="24"/>
          <w:szCs w:val="24"/>
        </w:rPr>
        <w:t>Under these non-compensatory options, the company would not recognize anything if the company choose to use APB No. 25 treatment under the intrinsic method.</w:t>
      </w:r>
    </w:p>
    <w:p>
      <w:pPr>
        <w:pStyle w:val="Normal"/>
        <w:widowControl/>
        <w:rPr>
          <w:b/>
          <w:bCs/>
          <w:sz w:val="24"/>
          <w:szCs w:val="24"/>
        </w:rPr>
      </w:pPr>
      <w:r>
        <w:rPr>
          <w:b/>
          <w:bCs/>
          <w:sz w:val="24"/>
          <w:szCs w:val="24"/>
        </w:rPr>
      </w:r>
    </w:p>
    <w:p>
      <w:pPr>
        <w:pStyle w:val="Normal"/>
        <w:widowControl/>
        <w:ind w:start="360" w:end="0"/>
        <w:rPr>
          <w:b/>
          <w:bCs/>
          <w:i/>
          <w:i/>
          <w:iCs/>
          <w:sz w:val="24"/>
          <w:szCs w:val="24"/>
        </w:rPr>
      </w:pPr>
      <w:r>
        <w:rPr>
          <w:b/>
          <w:bCs/>
          <w:i/>
          <w:iCs/>
          <w:sz w:val="24"/>
          <w:szCs w:val="24"/>
        </w:rPr>
      </w:r>
    </w:p>
    <w:p>
      <w:pPr>
        <w:pStyle w:val="BodyTextIndent2"/>
        <w:widowControl/>
        <w:numPr>
          <w:ilvl w:val="0"/>
          <w:numId w:val="11"/>
        </w:numPr>
        <w:tabs>
          <w:tab w:val="clear" w:pos="720"/>
          <w:tab w:val="left" w:pos="0" w:leader="none"/>
        </w:tabs>
        <w:ind w:hanging="720" w:start="720"/>
        <w:rPr/>
      </w:pPr>
      <w:r>
        <w:rPr/>
        <w:t>How will the proposed 100,000-share purchase  impact Nutra’s balance sheet, income statements, and key ratios?  What might be the impact on McCowan’s investment if he holds onto his Nutra stock?</w:t>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ind w:hanging="1710" w:start="1710" w:end="0"/>
        <w:rPr>
          <w:b/>
          <w:bCs/>
          <w:sz w:val="24"/>
          <w:szCs w:val="24"/>
        </w:rPr>
      </w:pPr>
      <w:r>
        <w:rPr>
          <w:b/>
          <w:bCs/>
          <w:sz w:val="24"/>
          <w:szCs w:val="24"/>
        </w:rPr>
        <w:t xml:space="preserve">Balance Sheet:  </w:t>
      </w:r>
    </w:p>
    <w:p>
      <w:pPr>
        <w:pStyle w:val="Normal"/>
        <w:widowControl/>
        <w:ind w:hanging="1710" w:start="1710" w:end="0"/>
        <w:rPr>
          <w:b/>
          <w:bCs/>
          <w:sz w:val="24"/>
          <w:szCs w:val="24"/>
        </w:rPr>
      </w:pPr>
      <w:r>
        <w:rPr>
          <w:b/>
          <w:bCs/>
          <w:sz w:val="24"/>
          <w:szCs w:val="24"/>
        </w:rPr>
      </w:r>
    </w:p>
    <w:p>
      <w:pPr>
        <w:pStyle w:val="Normal"/>
        <w:widowControl/>
        <w:rPr>
          <w:sz w:val="24"/>
          <w:szCs w:val="24"/>
        </w:rPr>
      </w:pPr>
      <w:r>
        <w:rPr>
          <w:sz w:val="24"/>
          <w:szCs w:val="24"/>
        </w:rPr>
        <w:t>The stock buy back of 100,000 at $30 per share will result in a reduction in current assets such as cash and a change in shareholder’s equity account for treasury stock.  The following accounting entry would be made:</w:t>
      </w:r>
    </w:p>
    <w:p>
      <w:pPr>
        <w:pStyle w:val="Normal"/>
        <w:widowControl/>
        <w:ind w:hanging="1710" w:start="1710" w:end="0"/>
        <w:rPr>
          <w:b/>
          <w:bCs/>
          <w:sz w:val="24"/>
          <w:szCs w:val="24"/>
        </w:rPr>
      </w:pPr>
      <w:r>
        <w:rPr>
          <w:b/>
          <w:bCs/>
          <w:sz w:val="24"/>
          <w:szCs w:val="24"/>
        </w:rPr>
      </w:r>
    </w:p>
    <w:p>
      <w:pPr>
        <w:pStyle w:val="Heading1"/>
        <w:widowControl/>
        <w:rPr/>
      </w:pPr>
      <w:r>
        <w:rPr/>
        <w:t>Treasury Stock</w:t>
        <w:tab/>
        <w:tab/>
        <w:t>3,000,000</w:t>
        <w:tab/>
        <w:tab/>
      </w:r>
    </w:p>
    <w:p>
      <w:pPr>
        <w:pStyle w:val="Normal"/>
        <w:widowControl/>
        <w:ind w:start="720" w:end="0"/>
        <w:rPr>
          <w:sz w:val="24"/>
          <w:szCs w:val="24"/>
        </w:rPr>
      </w:pPr>
      <w:r>
        <w:rPr>
          <w:sz w:val="24"/>
          <w:szCs w:val="24"/>
        </w:rPr>
        <w:tab/>
        <w:tab/>
        <w:tab/>
        <w:t>Cash</w:t>
        <w:tab/>
        <w:tab/>
        <w:tab/>
        <w:t>3,000,000</w:t>
      </w:r>
    </w:p>
    <w:p>
      <w:pPr>
        <w:pStyle w:val="Normal"/>
        <w:widowControl/>
        <w:ind w:start="720" w:end="0"/>
        <w:rPr>
          <w:sz w:val="24"/>
          <w:szCs w:val="24"/>
        </w:rPr>
      </w:pPr>
      <w:r>
        <w:rPr>
          <w:sz w:val="24"/>
          <w:szCs w:val="24"/>
        </w:rPr>
      </w:r>
    </w:p>
    <w:p>
      <w:pPr>
        <w:pStyle w:val="Normal"/>
        <w:widowControl/>
        <w:rPr>
          <w:sz w:val="24"/>
          <w:szCs w:val="24"/>
        </w:rPr>
      </w:pPr>
      <w:r>
        <w:rPr>
          <w:sz w:val="24"/>
          <w:szCs w:val="24"/>
        </w:rPr>
        <w:t>If the stock is retired upon purchase the entries would be:</w:t>
      </w:r>
    </w:p>
    <w:p>
      <w:pPr>
        <w:pStyle w:val="Normal"/>
        <w:widowControl/>
        <w:ind w:start="720" w:end="0"/>
        <w:rPr>
          <w:sz w:val="24"/>
          <w:szCs w:val="24"/>
        </w:rPr>
      </w:pPr>
      <w:r>
        <w:rPr>
          <w:sz w:val="24"/>
          <w:szCs w:val="24"/>
        </w:rPr>
      </w:r>
    </w:p>
    <w:p>
      <w:pPr>
        <w:pStyle w:val="Heading2"/>
        <w:widowControl/>
        <w:rPr/>
      </w:pPr>
      <w:r>
        <w:rPr/>
        <w:tab/>
        <w:t>Par Stock</w:t>
        <w:tab/>
        <w:tab/>
        <w:t>500,000</w:t>
      </w:r>
    </w:p>
    <w:p>
      <w:pPr>
        <w:pStyle w:val="Heading2"/>
        <w:widowControl/>
        <w:rPr/>
      </w:pPr>
      <w:r>
        <w:rPr/>
        <w:tab/>
        <w:t>Capital in Excess</w:t>
        <w:tab/>
        <w:tab/>
        <w:t>2,500,000</w:t>
      </w:r>
    </w:p>
    <w:p>
      <w:pPr>
        <w:pStyle w:val="Normal"/>
        <w:widowControl/>
        <w:ind w:firstLine="900" w:start="720" w:end="0"/>
        <w:rPr>
          <w:sz w:val="24"/>
          <w:szCs w:val="24"/>
        </w:rPr>
      </w:pPr>
      <w:r>
        <w:rPr>
          <w:sz w:val="24"/>
          <w:szCs w:val="24"/>
        </w:rPr>
        <w:tab/>
        <w:tab/>
        <w:t>Cash</w:t>
        <w:tab/>
        <w:tab/>
        <w:tab/>
        <w:t>3,000,000</w:t>
      </w:r>
    </w:p>
    <w:p>
      <w:pPr>
        <w:pStyle w:val="Normal"/>
        <w:widowControl/>
        <w:ind w:start="1620" w:end="0"/>
        <w:rPr>
          <w:sz w:val="24"/>
          <w:szCs w:val="24"/>
        </w:rPr>
      </w:pPr>
      <w:r>
        <w:rPr>
          <w:sz w:val="24"/>
          <w:szCs w:val="24"/>
        </w:rPr>
      </w:r>
    </w:p>
    <w:p>
      <w:pPr>
        <w:pStyle w:val="Normal"/>
        <w:widowControl/>
        <w:ind w:hanging="2070" w:start="2070" w:end="0"/>
        <w:rPr>
          <w:b/>
          <w:bCs/>
          <w:sz w:val="24"/>
          <w:szCs w:val="24"/>
        </w:rPr>
      </w:pPr>
      <w:r>
        <w:rPr>
          <w:b/>
          <w:bCs/>
          <w:sz w:val="24"/>
          <w:szCs w:val="24"/>
        </w:rPr>
        <w:t xml:space="preserve">Income Statement: </w:t>
      </w:r>
    </w:p>
    <w:p>
      <w:pPr>
        <w:pStyle w:val="Normal"/>
        <w:widowControl/>
        <w:ind w:hanging="2070" w:start="2070" w:end="0"/>
        <w:rPr>
          <w:b/>
          <w:bCs/>
          <w:sz w:val="24"/>
          <w:szCs w:val="24"/>
        </w:rPr>
      </w:pPr>
      <w:r>
        <w:rPr>
          <w:b/>
          <w:bCs/>
          <w:sz w:val="24"/>
          <w:szCs w:val="24"/>
        </w:rPr>
      </w:r>
    </w:p>
    <w:p>
      <w:pPr>
        <w:pStyle w:val="Normal"/>
        <w:widowControl/>
        <w:rPr>
          <w:sz w:val="24"/>
          <w:szCs w:val="24"/>
        </w:rPr>
      </w:pPr>
      <w:r>
        <w:rPr>
          <w:sz w:val="24"/>
          <w:szCs w:val="24"/>
        </w:rPr>
        <w:t>The income statements would not be effected since neither of these would be seen as revenue or expenses.  It would show up in the financing section of the cash flow statement.</w:t>
      </w:r>
    </w:p>
    <w:p>
      <w:pPr>
        <w:pStyle w:val="Normal"/>
        <w:widowControl/>
        <w:ind w:hanging="720" w:start="720" w:end="0"/>
        <w:rPr>
          <w:b/>
          <w:bCs/>
          <w:sz w:val="24"/>
          <w:szCs w:val="24"/>
        </w:rPr>
      </w:pPr>
      <w:r>
        <w:rPr>
          <w:b/>
          <w:bCs/>
          <w:sz w:val="24"/>
          <w:szCs w:val="24"/>
        </w:rPr>
      </w:r>
    </w:p>
    <w:p>
      <w:pPr>
        <w:pStyle w:val="Normal"/>
        <w:widowControl/>
        <w:ind w:hanging="1350" w:start="1350" w:end="0"/>
        <w:rPr>
          <w:b/>
          <w:bCs/>
          <w:sz w:val="24"/>
          <w:szCs w:val="24"/>
        </w:rPr>
      </w:pPr>
      <w:r>
        <w:rPr>
          <w:b/>
          <w:bCs/>
          <w:sz w:val="24"/>
          <w:szCs w:val="24"/>
        </w:rPr>
        <w:t>Key Ratios:</w:t>
      </w:r>
    </w:p>
    <w:p>
      <w:pPr>
        <w:pStyle w:val="Normal"/>
        <w:widowControl/>
        <w:ind w:hanging="1350" w:start="1350" w:end="0"/>
        <w:rPr>
          <w:b/>
          <w:bCs/>
          <w:sz w:val="24"/>
          <w:szCs w:val="24"/>
        </w:rPr>
      </w:pPr>
      <w:r>
        <w:rPr>
          <w:b/>
          <w:bCs/>
          <w:sz w:val="24"/>
          <w:szCs w:val="24"/>
        </w:rPr>
      </w:r>
    </w:p>
    <w:p>
      <w:pPr>
        <w:pStyle w:val="Normal"/>
        <w:widowControl/>
        <w:rPr>
          <w:sz w:val="24"/>
          <w:szCs w:val="24"/>
        </w:rPr>
      </w:pPr>
      <w:r>
        <w:rPr>
          <w:sz w:val="24"/>
          <w:szCs w:val="24"/>
        </w:rPr>
        <w:t>The key ratios that would be effective would be the debt to equity ratio and the current/quick ratios.  Before the change the debt to equity ratio was:</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tab/>
        <w:tab/>
        <w:t>9,626,141 / 13,024,799 = 0.7391</w:t>
      </w:r>
    </w:p>
    <w:p>
      <w:pPr>
        <w:pStyle w:val="Normal"/>
        <w:widowControl/>
        <w:ind w:start="1350" w:end="0"/>
        <w:rPr>
          <w:sz w:val="24"/>
          <w:szCs w:val="24"/>
        </w:rPr>
      </w:pPr>
      <w:r>
        <w:rPr>
          <w:sz w:val="24"/>
          <w:szCs w:val="24"/>
        </w:rPr>
      </w:r>
    </w:p>
    <w:p>
      <w:pPr>
        <w:pStyle w:val="Normal"/>
        <w:widowControl/>
        <w:rPr>
          <w:sz w:val="24"/>
          <w:szCs w:val="24"/>
        </w:rPr>
      </w:pPr>
      <w:r>
        <w:rPr>
          <w:sz w:val="24"/>
          <w:szCs w:val="24"/>
        </w:rPr>
        <w:t>with the purchase the ratio would be</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tab/>
        <w:tab/>
        <w:t>9,626,141 / 10,024,799 = 0.9602</w:t>
      </w:r>
    </w:p>
    <w:p>
      <w:pPr>
        <w:pStyle w:val="Normal"/>
        <w:widowControl/>
        <w:ind w:start="1350" w:end="0"/>
        <w:rPr>
          <w:sz w:val="24"/>
          <w:szCs w:val="24"/>
        </w:rPr>
      </w:pPr>
      <w:r>
        <w:rPr>
          <w:sz w:val="24"/>
          <w:szCs w:val="24"/>
        </w:rPr>
      </w:r>
    </w:p>
    <w:p>
      <w:pPr>
        <w:pStyle w:val="Normal"/>
        <w:widowControl/>
        <w:rPr>
          <w:sz w:val="24"/>
          <w:szCs w:val="24"/>
        </w:rPr>
      </w:pPr>
      <w:r>
        <w:rPr>
          <w:sz w:val="24"/>
          <w:szCs w:val="24"/>
        </w:rPr>
        <w:t>The current ratio without the change is</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tab/>
        <w:tab/>
        <w:t>16,513,423 / 5,692,068 = 2.9011</w:t>
      </w:r>
    </w:p>
    <w:p>
      <w:pPr>
        <w:pStyle w:val="Normal"/>
        <w:widowControl/>
        <w:ind w:start="1350" w:end="0"/>
        <w:rPr>
          <w:sz w:val="24"/>
          <w:szCs w:val="24"/>
        </w:rPr>
      </w:pPr>
      <w:r>
        <w:rPr>
          <w:sz w:val="24"/>
          <w:szCs w:val="24"/>
        </w:rPr>
      </w:r>
    </w:p>
    <w:p>
      <w:pPr>
        <w:pStyle w:val="Normal"/>
        <w:widowControl/>
        <w:rPr>
          <w:sz w:val="24"/>
          <w:szCs w:val="24"/>
        </w:rPr>
      </w:pPr>
      <w:r>
        <w:rPr>
          <w:sz w:val="24"/>
          <w:szCs w:val="24"/>
        </w:rPr>
        <w:t>with the purchase the ratio would be</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tab/>
        <w:tab/>
        <w:t>13,513,423 / 5,692,068 = 2.3741</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r>
    </w:p>
    <w:p>
      <w:pPr>
        <w:pStyle w:val="Normal"/>
        <w:widowControl/>
        <w:ind w:hanging="720" w:start="720" w:end="0"/>
        <w:rPr>
          <w:sz w:val="24"/>
          <w:szCs w:val="24"/>
        </w:rPr>
      </w:pPr>
      <w:r>
        <w:rPr>
          <w:i/>
          <w:iCs/>
          <w:sz w:val="24"/>
          <w:szCs w:val="24"/>
        </w:rPr>
        <w:t>What might be the impact McCowan’s investment if he holds onto his Nutra Stock?</w:t>
      </w:r>
    </w:p>
    <w:p>
      <w:pPr>
        <w:pStyle w:val="Normal"/>
        <w:widowControl/>
        <w:ind w:start="720" w:end="0"/>
        <w:rPr>
          <w:sz w:val="24"/>
          <w:szCs w:val="24"/>
        </w:rPr>
      </w:pPr>
      <w:r>
        <w:rPr>
          <w:sz w:val="24"/>
          <w:szCs w:val="24"/>
        </w:rPr>
      </w:r>
    </w:p>
    <w:p>
      <w:pPr>
        <w:pStyle w:val="BodyTextIndent3"/>
        <w:widowControl/>
        <w:ind w:start="0" w:end="0"/>
        <w:rPr/>
      </w:pPr>
      <w:r>
        <w:rPr/>
        <w:t>The stock market typically views stock buy-backs in a positive light.  The upside potential could be determined if you assume market capitalization or price to earnings ratio remained unchanged after the buy-back.</w:t>
      </w:r>
    </w:p>
    <w:p>
      <w:pPr>
        <w:pStyle w:val="BodyTextIndent3"/>
        <w:widowControl/>
        <w:ind w:start="0" w:end="0"/>
        <w:rPr/>
      </w:pPr>
      <w:r>
        <w:rPr/>
      </w:r>
    </w:p>
    <w:p>
      <w:pPr>
        <w:pStyle w:val="BodyTextIndent3"/>
        <w:widowControl/>
        <w:ind w:start="0" w:end="0"/>
        <w:rPr/>
      </w:pPr>
      <w:r>
        <w:rPr/>
        <w:t>Under current conditions the market capitalization of the company is:</w:t>
      </w:r>
    </w:p>
    <w:p>
      <w:pPr>
        <w:pStyle w:val="Normal"/>
        <w:widowControl/>
        <w:rPr>
          <w:sz w:val="24"/>
          <w:szCs w:val="24"/>
        </w:rPr>
      </w:pPr>
      <w:r>
        <w:rPr>
          <w:sz w:val="24"/>
          <w:szCs w:val="24"/>
        </w:rPr>
      </w:r>
    </w:p>
    <w:p>
      <w:pPr>
        <w:pStyle w:val="Normal"/>
        <w:widowControl/>
        <w:rPr>
          <w:sz w:val="24"/>
          <w:szCs w:val="24"/>
        </w:rPr>
      </w:pPr>
      <w:r>
        <w:rPr>
          <w:sz w:val="24"/>
          <w:szCs w:val="24"/>
        </w:rPr>
        <w:tab/>
        <w:t>586,070 (shares outstanding) * $28.5 per share = $16,702,995</w:t>
      </w:r>
    </w:p>
    <w:p>
      <w:pPr>
        <w:pStyle w:val="Normal"/>
        <w:widowControl/>
        <w:rPr>
          <w:sz w:val="24"/>
          <w:szCs w:val="24"/>
        </w:rPr>
      </w:pPr>
      <w:r>
        <w:rPr>
          <w:sz w:val="24"/>
          <w:szCs w:val="24"/>
        </w:rPr>
      </w:r>
    </w:p>
    <w:p>
      <w:pPr>
        <w:pStyle w:val="Normal"/>
        <w:widowControl/>
        <w:rPr>
          <w:sz w:val="24"/>
          <w:szCs w:val="24"/>
        </w:rPr>
      </w:pPr>
      <w:r>
        <w:rPr>
          <w:sz w:val="24"/>
          <w:szCs w:val="24"/>
        </w:rPr>
        <w:t>with the reduction in number of shares the new price if the market capitalization stays the same would be</w:t>
      </w:r>
    </w:p>
    <w:p>
      <w:pPr>
        <w:pStyle w:val="Normal"/>
        <w:widowControl/>
        <w:rPr>
          <w:sz w:val="24"/>
          <w:szCs w:val="24"/>
        </w:rPr>
      </w:pPr>
      <w:r>
        <w:rPr>
          <w:sz w:val="24"/>
          <w:szCs w:val="24"/>
        </w:rPr>
      </w:r>
    </w:p>
    <w:p>
      <w:pPr>
        <w:pStyle w:val="Normal"/>
        <w:widowControl/>
        <w:rPr>
          <w:sz w:val="24"/>
          <w:szCs w:val="24"/>
        </w:rPr>
      </w:pPr>
      <w:r>
        <w:rPr>
          <w:sz w:val="24"/>
          <w:szCs w:val="24"/>
        </w:rPr>
        <w:tab/>
        <w:t>$16,702,995 / 486,070 = $34.36 per share</w:t>
      </w:r>
    </w:p>
    <w:p>
      <w:pPr>
        <w:pStyle w:val="Normal"/>
        <w:widowControl/>
        <w:rPr>
          <w:sz w:val="24"/>
          <w:szCs w:val="24"/>
        </w:rPr>
      </w:pPr>
      <w:r>
        <w:rPr>
          <w:sz w:val="24"/>
          <w:szCs w:val="24"/>
        </w:rPr>
      </w:r>
    </w:p>
    <w:p>
      <w:pPr>
        <w:pStyle w:val="Normal"/>
        <w:widowControl/>
        <w:rPr>
          <w:sz w:val="24"/>
          <w:szCs w:val="24"/>
        </w:rPr>
      </w:pPr>
      <w:r>
        <w:rPr>
          <w:sz w:val="24"/>
          <w:szCs w:val="24"/>
        </w:rPr>
        <w:t>This would be a 20.56% increase in McCowan’s investment.  This of course brackets the immediate upside potential.  The most likely scenario would be that the immediate price would be somewhere between $28.5 and $34.36 per share.  Since buy-backs are public knowledge, there is even a better chance the short term stock price will be between $30 and $34.36 per share.</w:t>
      </w:r>
    </w:p>
    <w:p>
      <w:pPr>
        <w:pStyle w:val="Normal"/>
        <w:widowControl/>
        <w:ind w:start="720" w:end="0"/>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6"/>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420"/>
        </w:tabs>
        <w:ind w:start="420" w:hanging="4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lvlText w:val="%1)"/>
      <w:lvlJc w:val="start"/>
      <w:pPr>
        <w:tabs>
          <w:tab w:val="num" w:pos="450"/>
        </w:tabs>
        <w:ind w:start="450" w:hanging="45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Letter"/>
      <w:lvlText w:val="%1)"/>
      <w:lvlJc w:val="start"/>
      <w:pPr>
        <w:tabs>
          <w:tab w:val="num" w:pos="450"/>
        </w:tabs>
        <w:ind w:start="450" w:hanging="45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7"/>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990" w:end="0"/>
      <w:outlineLvl w:val="0"/>
    </w:pPr>
    <w:rPr>
      <w:sz w:val="24"/>
      <w:szCs w:val="24"/>
    </w:rPr>
  </w:style>
  <w:style w:type="paragraph" w:styleId="Heading2">
    <w:name w:val="heading 2"/>
    <w:basedOn w:val="Normal"/>
    <w:next w:val="Normal"/>
    <w:qFormat/>
    <w:pPr>
      <w:keepNext w:val="true"/>
      <w:numPr>
        <w:ilvl w:val="1"/>
        <w:numId w:val="1"/>
      </w:numPr>
      <w:ind w:firstLine="900" w:start="720" w:end="0"/>
      <w:outlineLvl w:val="1"/>
    </w:pPr>
    <w:rPr>
      <w:sz w:val="24"/>
      <w:szCs w:val="24"/>
    </w:rPr>
  </w:style>
  <w:style w:type="paragraph" w:styleId="Heading3">
    <w:name w:val="heading 3"/>
    <w:basedOn w:val="Normal"/>
    <w:next w:val="Normal"/>
    <w:qFormat/>
    <w:pPr>
      <w:keepNext w:val="true"/>
      <w:numPr>
        <w:ilvl w:val="2"/>
        <w:numId w:val="1"/>
      </w:numPr>
      <w:ind w:hanging="0" w:start="360" w:end="0"/>
      <w:outlineLvl w:val="2"/>
    </w:pPr>
    <w:rPr>
      <w:rFonts w:ascii="Arial" w:hAnsi="Arial" w:eastAsia="Arial" w:cs="Arial"/>
      <w:i/>
      <w:iCs/>
      <w:sz w:val="24"/>
      <w:szCs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i/>
      <w:iCs/>
      <w:sz w:val="24"/>
      <w:szCs w:val="24"/>
    </w:rPr>
  </w:style>
  <w:style w:type="paragraph" w:styleId="BodyTextIndent2">
    <w:name w:val="Body Text Indent 2"/>
    <w:basedOn w:val="Normal"/>
    <w:qFormat/>
    <w:pPr>
      <w:ind w:hanging="360" w:start="360" w:end="0"/>
    </w:pPr>
    <w:rPr>
      <w:i/>
      <w:iCs/>
      <w:sz w:val="24"/>
      <w:szCs w:val="24"/>
    </w:rPr>
  </w:style>
  <w:style w:type="paragraph" w:styleId="BodyTextIndent3">
    <w:name w:val="Body Text Indent 3"/>
    <w:basedOn w:val="Normal"/>
    <w:qFormat/>
    <w:pPr>
      <w:ind w:hanging="0" w:start="720" w:end="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2000-11-13T01:33:00Z</dcterms:created>
  <dc:creator>Oracle Internal Systems</dc:creator>
  <dc:description/>
  <dc:language>en-CA</dc:language>
  <cp:lastModifiedBy>Oracle Internal Systems</cp:lastModifiedBy>
  <dcterms:modified xsi:type="dcterms:W3CDTF">2000-11-13T19:00:00Z</dcterms:modified>
  <cp:revision>4</cp:revision>
  <dc:subject/>
  <dc:title>5</dc:title>
</cp:coreProperties>
</file>