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(908) 719-0944</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V09140.4</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March 27,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30,000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April 02,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May 01,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October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May 01, 2001 and ending on October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$5.57900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Transcontinental Gas Pipe Line Corp. - Zone 3 (pooling points)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tc>
      </w:tr>
    </w:tbl>
    <w:p>
      <w:pPr>
        <w:pStyle w:val="Normal"/>
        <w:rPr>
          <w:sz w:val="22"/>
        </w:rPr>
      </w:pPr>
      <w:r>
        <w:rPr>
          <w:sz w:val="22"/>
        </w:rPr>
      </w:r>
    </w:p>
    <w:p>
      <w:pPr>
        <w:pStyle w:val="Normal"/>
        <w:ind w:hanging="4320" w:start="4320" w:end="0"/>
        <w:rPr/>
      </w:pPr>
      <w:r>
        <w:rPr>
          <w:b/>
          <w:sz w:val="22"/>
        </w:rPr>
        <w:t>Additional Provisions</w:t>
      </w:r>
      <w:r>
        <w:rPr>
          <w:sz w:val="22"/>
        </w:rPr>
        <w:t>:</w:t>
        <w:tab/>
        <w:t>(a)</w:t>
        <w:tab/>
        <w:t>For purposes of this Transaction only, the Agreement is amended as follows:</w:t>
      </w:r>
    </w:p>
    <w:p>
      <w:pPr>
        <w:pStyle w:val="Normal"/>
        <w:ind w:hanging="4320" w:start="4320" w:end="0"/>
        <w:rPr>
          <w:sz w:val="22"/>
        </w:rPr>
      </w:pPr>
      <w:r>
        <w:rPr>
          <w:sz w:val="22"/>
        </w:rPr>
      </w:r>
    </w:p>
    <w:p>
      <w:pPr>
        <w:pStyle w:val="BodyTextIndent"/>
        <w:rPr/>
      </w:pPr>
      <w:r>
        <w:rPr/>
        <w:t>“</w:t>
      </w:r>
      <w:r>
        <w:rPr/>
        <w:t>The following shall constitute an Additional Event of Default for purposes of Section 5(a) with respect to Party B:</w:t>
      </w:r>
    </w:p>
    <w:p>
      <w:pPr>
        <w:pStyle w:val="Normal"/>
        <w:ind w:start="4320" w:end="0"/>
        <w:rPr>
          <w:sz w:val="22"/>
        </w:rPr>
      </w:pPr>
      <w:r>
        <w:rPr>
          <w:sz w:val="22"/>
        </w:rPr>
      </w:r>
    </w:p>
    <w:p>
      <w:pPr>
        <w:pStyle w:val="BodyTextIndent2"/>
        <w:numPr>
          <w:ilvl w:val="0"/>
          <w:numId w:val="2"/>
        </w:numPr>
        <w:rPr/>
      </w:pPr>
      <w:r>
        <w:rPr/>
        <w:t>the occurrence of a “Triggering Event” by NUI Utilities, Inc. under that certain Master Firm Purchase/Sales Agreement (the “Physical Agreement”) dated effective as of April 1, 2001 between NUI Utilities, Inc. and ENA, as such term “Triggering Event” is defined in the Physical Agreement.</w:t>
      </w:r>
    </w:p>
    <w:p>
      <w:pPr>
        <w:pStyle w:val="BodyTextIndent2"/>
        <w:ind w:start="5040" w:end="0"/>
        <w:rPr/>
      </w:pPr>
      <w:r>
        <w:rPr/>
      </w:r>
    </w:p>
    <w:p>
      <w:pPr>
        <w:pStyle w:val="BodyTextIndent2"/>
        <w:rPr/>
      </w:pPr>
      <w:r>
        <w:rPr/>
        <w:t xml:space="preserve">(b)    As a condition precedent to entering into this Transaction, Party B shall cause to be delivered to Party A the duly executed guaranty from NUI Utilities, Inc. in the amount of U.S. $10,000,000 in the form attached hereto as </w:t>
      </w:r>
      <w:r>
        <w:rPr>
          <w:u w:val="single"/>
        </w:rPr>
        <w:t>Exhibit A</w:t>
      </w:r>
      <w:r>
        <w:rPr/>
        <w:t xml:space="preserve"> (the “Guaranty”) and NUI Utilities, Inc. shall be a Credit Support Provider pursuant to the terms of the Agreement.  This Guaranty, which is in addition to the existing guaranty from NUI Capital Corp., shall be a Credit Support Document under this Agreement and shall guaranty the timely payment obligations of NUI </w:t>
      </w:r>
      <w:r>
        <w:rPr>
          <w:color w:val="FF0000"/>
        </w:rPr>
        <w:t>under Enron Commodity Swaps V09140.4 &amp; V09140.5</w:t>
      </w:r>
      <w:r>
        <w:rPr/>
        <w:t>.  The Guaranty shall remain in effect from the Effective Date of this Transaction through November 30, 2001.  This Transaction shall be null and void and no force and effect if Party A does not receive the Guaranty as recited herein</w:t>
      </w:r>
    </w:p>
    <w:p>
      <w:pPr>
        <w:pStyle w:val="BodyTextIndent2"/>
        <w:rPr/>
      </w:pPr>
      <w:r>
        <w:rPr/>
      </w:r>
    </w:p>
    <w:p>
      <w:pPr>
        <w:pStyle w:val="BodyTextIndent2"/>
        <w:rPr/>
      </w:pPr>
      <w:r>
        <w:rPr/>
        <w:t>(c) For the purposes of calculating “Exposure” under the Credit Support Annex dated as of March 27, 1998 between Party A and Party B, as amended and supplemented from time to time, the Transaction to which this Confirmation relates will not constitute a “Transaction” or a “Swap Transaction”.</w:t>
      </w:r>
    </w:p>
    <w:p>
      <w:pPr>
        <w:pStyle w:val="BodyTextIndent2"/>
        <w:rPr/>
      </w:pPr>
      <w:r>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rPr/>
      </w:pPr>
      <w:r>
        <w:rPr>
          <w:sz w:val="22"/>
        </w:rPr>
        <w:tab/>
      </w:r>
      <w:r>
        <w:rPr>
          <w:color w:val="000000"/>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snapToGrid w:val="false"/>
              <w:rPr>
                <w:sz w:val="22"/>
              </w:rPr>
            </w:pPr>
            <w:r>
              <w:rPr>
                <w:sz w:val="22"/>
              </w:rPr>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NUI Energy Brokers,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r>
        <w:br w:type="page"/>
      </w:r>
    </w:p>
    <w:p>
      <w:pPr>
        <w:pStyle w:val="Normal"/>
        <w:spacing w:lineRule="exact" w:line="240"/>
        <w:ind w:end="720"/>
        <w:jc w:val="center"/>
        <w:rPr>
          <w:b/>
          <w:sz w:val="22"/>
        </w:rPr>
      </w:pPr>
      <w:r>
        <w:rPr>
          <w:b/>
          <w:sz w:val="22"/>
          <w:u w:val="single"/>
        </w:rPr>
        <w:t>EXHIBIT A</w:t>
      </w:r>
    </w:p>
    <w:p>
      <w:pPr>
        <w:pStyle w:val="Normal"/>
        <w:spacing w:lineRule="exact" w:line="240"/>
        <w:ind w:end="720"/>
        <w:jc w:val="center"/>
        <w:rPr>
          <w:b/>
          <w:sz w:val="22"/>
        </w:rPr>
      </w:pPr>
      <w:r>
        <w:rPr>
          <w:b/>
          <w:sz w:val="22"/>
        </w:rPr>
      </w:r>
    </w:p>
    <w:p>
      <w:pPr>
        <w:pStyle w:val="Normal"/>
        <w:spacing w:lineRule="exact" w:line="240"/>
        <w:ind w:end="720"/>
        <w:jc w:val="center"/>
        <w:rPr>
          <w:b/>
          <w:sz w:val="22"/>
        </w:rPr>
      </w:pPr>
      <w:r>
        <w:rPr>
          <w:b/>
          <w:sz w:val="22"/>
        </w:rPr>
        <w:t>NUI UTILITIES, INC.</w:t>
      </w:r>
    </w:p>
    <w:p>
      <w:pPr>
        <w:pStyle w:val="Normal"/>
        <w:ind w:end="720"/>
        <w:jc w:val="center"/>
        <w:rPr>
          <w:b/>
          <w:sz w:val="22"/>
        </w:rPr>
      </w:pPr>
      <w:r>
        <w:rPr>
          <w:b/>
          <w:sz w:val="22"/>
        </w:rPr>
      </w:r>
    </w:p>
    <w:p>
      <w:pPr>
        <w:pStyle w:val="Normal"/>
        <w:spacing w:lineRule="exact" w:line="240"/>
        <w:ind w:end="720"/>
        <w:jc w:val="center"/>
        <w:rPr>
          <w:sz w:val="22"/>
        </w:rPr>
      </w:pPr>
      <w:r>
        <w:rPr>
          <w:sz w:val="22"/>
          <w:u w:val="single"/>
        </w:rPr>
        <w:t>Guaranty</w:t>
      </w:r>
    </w:p>
    <w:p>
      <w:pPr>
        <w:pStyle w:val="Normal"/>
        <w:ind w:end="720"/>
        <w:jc w:val="both"/>
        <w:rPr>
          <w:sz w:val="22"/>
        </w:rPr>
      </w:pPr>
      <w:r>
        <w:rPr>
          <w:sz w:val="22"/>
        </w:rPr>
      </w:r>
    </w:p>
    <w:p>
      <w:pPr>
        <w:pStyle w:val="Normal"/>
        <w:ind w:end="720"/>
        <w:jc w:val="both"/>
        <w:rPr>
          <w:sz w:val="22"/>
        </w:rPr>
      </w:pPr>
      <w:r>
        <w:rPr>
          <w:sz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200</w:t>
      </w:r>
      <w:r>
        <w:rPr>
          <w:sz w:val="22"/>
          <w:u w:val="single"/>
        </w:rPr>
        <w:tab/>
        <w:t xml:space="preserve"> </w:t>
      </w:r>
      <w:r>
        <w:rPr>
          <w:sz w:val="22"/>
        </w:rPr>
        <w:t xml:space="preserve"> (the “Effective Date”), is made and entered into by NUI UTILITIES, INC., New Jersey corporation (“Guarantor”).</w:t>
      </w:r>
    </w:p>
    <w:p>
      <w:pPr>
        <w:pStyle w:val="Normal"/>
        <w:spacing w:lineRule="atLeast" w:line="240"/>
        <w:jc w:val="both"/>
        <w:rPr>
          <w:sz w:val="22"/>
        </w:rPr>
      </w:pPr>
      <w:r>
        <w:rPr>
          <w:sz w:val="22"/>
        </w:rPr>
      </w:r>
    </w:p>
    <w:p>
      <w:pPr>
        <w:pStyle w:val="Normal"/>
        <w:keepNext w:val="true"/>
        <w:spacing w:lineRule="atLeast" w:line="24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NUI Energy Brokers, Inc., a wholly owned subsidiary of Guarantor (“Counterparty”), and </w:t>
      </w:r>
      <w:r>
        <w:rPr>
          <w:caps/>
          <w:sz w:val="22"/>
        </w:rPr>
        <w:t>Enron NORTH AMERICA Corp.</w:t>
      </w:r>
      <w:r>
        <w:rPr>
          <w:sz w:val="22"/>
        </w:rPr>
        <w:t>,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March 27, 1998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Enron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start="720" w:end="0"/>
        <w:jc w:val="both"/>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as such terms are defined in the Master Agreement,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start="720" w:end="0"/>
        <w:jc w:val="both"/>
        <w:rPr>
          <w:sz w:val="22"/>
        </w:rPr>
      </w:pPr>
      <w:r>
        <w:rPr>
          <w:sz w:val="22"/>
        </w:rPr>
        <w:t xml:space="preserve">(a)  it is a corporation duly organized and validly existing under the laws of the State of New Jersey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rPr>
            </w:pPr>
            <w:r>
              <w:rPr>
                <w:sz w:val="22"/>
              </w:rPr>
              <w:t>To Enron:</w:t>
            </w:r>
          </w:p>
        </w:tc>
        <w:tc>
          <w:tcPr>
            <w:tcW w:w="4230" w:type="dxa"/>
            <w:tcBorders/>
          </w:tcPr>
          <w:p>
            <w:pPr>
              <w:pStyle w:val="Normal"/>
              <w:keepNext w:val="true"/>
              <w:keepLines/>
              <w:spacing w:lineRule="atLeast" w:line="240"/>
              <w:rPr>
                <w:sz w:val="22"/>
              </w:rPr>
            </w:pPr>
            <w:r>
              <w:rPr>
                <w:sz w:val="22"/>
              </w:rPr>
              <w:t>Enron North America Corp.</w:t>
            </w:r>
          </w:p>
        </w:tc>
        <w:tc>
          <w:tcPr>
            <w:tcW w:w="1620" w:type="dxa"/>
            <w:tcBorders/>
          </w:tcPr>
          <w:p>
            <w:pPr>
              <w:pStyle w:val="Normal"/>
              <w:keepNext w:val="true"/>
              <w:keepLines/>
              <w:spacing w:lineRule="atLeast" w:line="240"/>
              <w:rPr>
                <w:sz w:val="22"/>
              </w:rPr>
            </w:pPr>
            <w:r>
              <w:rPr>
                <w:sz w:val="22"/>
              </w:rPr>
              <w:t>To Guarantor:</w:t>
            </w:r>
          </w:p>
        </w:tc>
        <w:tc>
          <w:tcPr>
            <w:tcW w:w="3150" w:type="dxa"/>
            <w:tcBorders/>
          </w:tcPr>
          <w:p>
            <w:pPr>
              <w:pStyle w:val="Normal"/>
              <w:keepNext w:val="true"/>
              <w:keepLines/>
              <w:tabs>
                <w:tab w:val="clear" w:pos="720"/>
                <w:tab w:val="right" w:pos="2988" w:leader="none"/>
              </w:tabs>
              <w:spacing w:lineRule="atLeast" w:line="240"/>
              <w:rPr>
                <w:sz w:val="22"/>
                <w:u w:val="single"/>
              </w:rPr>
            </w:pPr>
            <w:r>
              <w:rPr>
                <w:sz w:val="22"/>
                <w:u w:val="single"/>
              </w:rPr>
              <w:tab/>
            </w:r>
          </w:p>
          <w:p>
            <w:pPr>
              <w:pStyle w:val="Normal"/>
              <w:keepNext w:val="true"/>
              <w:keepLines/>
              <w:tabs>
                <w:tab w:val="clear" w:pos="720"/>
                <w:tab w:val="right" w:pos="2988" w:leader="none"/>
              </w:tabs>
              <w:spacing w:lineRule="atLeast" w:line="240"/>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1400 Smith Street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ind w:end="72"/>
              <w:rPr>
                <w:sz w:val="22"/>
              </w:rPr>
            </w:pP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Houston, Texas  77002</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Attn.:  Director, Documentation Department</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r>
        <w:trPr/>
        <w:tc>
          <w:tcPr>
            <w:tcW w:w="1098" w:type="dxa"/>
            <w:tcBorders/>
          </w:tcPr>
          <w:p>
            <w:pPr>
              <w:pStyle w:val="Normal"/>
              <w:keepNext w:val="true"/>
              <w:keepLines/>
              <w:snapToGrid w:val="false"/>
              <w:spacing w:lineRule="atLeast" w:line="240"/>
              <w:rPr>
                <w:sz w:val="22"/>
              </w:rPr>
            </w:pPr>
            <w:r>
              <w:rPr>
                <w:sz w:val="22"/>
              </w:rPr>
            </w:r>
          </w:p>
        </w:tc>
        <w:tc>
          <w:tcPr>
            <w:tcW w:w="4230" w:type="dxa"/>
            <w:tcBorders/>
          </w:tcPr>
          <w:p>
            <w:pPr>
              <w:pStyle w:val="Normal"/>
              <w:keepNext w:val="true"/>
              <w:keepLines/>
              <w:spacing w:lineRule="atLeast" w:line="240"/>
              <w:rPr>
                <w:sz w:val="22"/>
              </w:rPr>
            </w:pPr>
            <w:r>
              <w:rPr>
                <w:sz w:val="22"/>
              </w:rPr>
              <w:t>Fax No.:  (713) 646-4816</w:t>
            </w:r>
          </w:p>
        </w:tc>
        <w:tc>
          <w:tcPr>
            <w:tcW w:w="1620"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tabs>
                <w:tab w:val="clear" w:pos="720"/>
                <w:tab w:val="right" w:pos="2988" w:leader="none"/>
              </w:tabs>
              <w:snapToGrid w:val="false"/>
              <w:spacing w:lineRule="atLeast" w:line="240"/>
              <w:rPr>
                <w:sz w:val="22"/>
              </w:rPr>
            </w:pPr>
            <w:r>
              <w:rPr>
                <w:sz w:val="22"/>
              </w:rPr>
            </w:r>
          </w:p>
        </w:tc>
      </w:tr>
    </w:tbl>
    <w:p>
      <w:pPr>
        <w:pStyle w:val="Normal"/>
        <w:tabs>
          <w:tab w:val="clear" w:pos="720"/>
          <w:tab w:val="left" w:pos="6480" w:leader="none"/>
        </w:tabs>
        <w:spacing w:lineRule="atLeast" w:line="240"/>
        <w:jc w:val="both"/>
        <w:rPr>
          <w:sz w:val="22"/>
        </w:rPr>
      </w:pPr>
      <w:r>
        <w:rPr>
          <w:sz w:val="22"/>
        </w:rPr>
      </w:r>
    </w:p>
    <w:p>
      <w:pPr>
        <w:pStyle w:val="Normal"/>
        <w:tabs>
          <w:tab w:val="clear" w:pos="720"/>
          <w:tab w:val="left" w:pos="6480" w:leader="none"/>
        </w:tabs>
        <w:spacing w:lineRule="atLeast" w:line="240"/>
        <w:jc w:val="both"/>
        <w:rPr>
          <w:sz w:val="22"/>
        </w:rPr>
      </w:pPr>
      <w:r>
        <w:rPr>
          <w:sz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9. </w:t>
      </w:r>
      <w:r>
        <w:rPr>
          <w:sz w:val="22"/>
          <w:u w:val="single"/>
        </w:rPr>
        <w:t>DEFINED TERMS</w:t>
      </w:r>
      <w:r>
        <w:rPr>
          <w:sz w:val="22"/>
        </w:rPr>
        <w:t>.  Capitalized terms used herein and not otherwise defined herein shall have the meanings given to such terms in the Master Agreement.</w:t>
        <w:tab/>
        <w:tab/>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r>
      <w:r>
        <w:rPr>
          <w:sz w:val="22"/>
          <w:u w:val="single"/>
        </w:rPr>
        <w:tab/>
        <w:tab/>
      </w:r>
      <w:r>
        <w:rPr>
          <w:sz w:val="22"/>
        </w:rPr>
        <w:t>, 200_, but it is effective as of the Effective Date.</w:t>
      </w:r>
    </w:p>
    <w:p>
      <w:pPr>
        <w:pStyle w:val="Normal"/>
        <w:spacing w:lineRule="atLeast" w:line="240"/>
        <w:jc w:val="both"/>
        <w:rPr>
          <w:b/>
          <w:sz w:val="22"/>
        </w:rPr>
      </w:pPr>
      <w:r>
        <w:rPr>
          <w:b/>
          <w:sz w:val="22"/>
        </w:rPr>
      </w:r>
    </w:p>
    <w:p>
      <w:pPr>
        <w:pStyle w:val="Normal"/>
        <w:spacing w:lineRule="exact" w:line="240"/>
        <w:ind w:start="5040" w:end="0"/>
        <w:jc w:val="both"/>
        <w:rPr>
          <w:b/>
          <w:sz w:val="22"/>
        </w:rPr>
      </w:pPr>
      <w:r>
        <w:rPr>
          <w:b/>
          <w:sz w:val="22"/>
        </w:rPr>
        <w:t>NUI UTILITIES, INC.</w:t>
      </w:r>
    </w:p>
    <w:p>
      <w:pPr>
        <w:pStyle w:val="Normal"/>
        <w:spacing w:lineRule="exac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r>
    </w:p>
    <w:p>
      <w:pPr>
        <w:pStyle w:val="Normal"/>
        <w:spacing w:lineRule="atLeast" w:line="240"/>
        <w:ind w:start="5040" w:end="0"/>
        <w:jc w:val="both"/>
        <w:rPr>
          <w:sz w:val="22"/>
        </w:rPr>
      </w:pPr>
      <w:r>
        <w:rPr>
          <w:sz w:val="22"/>
        </w:rPr>
        <w:t xml:space="preserve">Name:  </w:t>
      </w:r>
      <w:r>
        <w:rPr>
          <w:sz w:val="22"/>
          <w:u w:val="single"/>
        </w:rPr>
        <w:tab/>
        <w:tab/>
        <w:tab/>
        <w:tab/>
        <w:tab/>
      </w:r>
    </w:p>
    <w:p>
      <w:pPr>
        <w:pStyle w:val="Normal"/>
        <w:spacing w:lineRule="atLeast" w:line="240"/>
        <w:ind w:start="5040" w:end="0"/>
        <w:jc w:val="both"/>
        <w:rPr/>
      </w:pPr>
      <w:r>
        <w:rPr>
          <w:sz w:val="22"/>
        </w:rPr>
        <w:t xml:space="preserve">Title:  </w:t>
      </w:r>
      <w:r>
        <w:rPr>
          <w:sz w:val="22"/>
          <w:u w:val="single"/>
        </w:rPr>
        <w:tab/>
        <w:tab/>
        <w:tab/>
        <w:tab/>
        <w:tab/>
      </w:r>
    </w:p>
    <w:p>
      <w:pPr>
        <w:pStyle w:val="Normal"/>
        <w:rPr>
          <w:sz w:val="22"/>
          <w:u w:val="single"/>
        </w:rPr>
      </w:pPr>
      <w:r>
        <w:rPr>
          <w:sz w:val="22"/>
          <w:u w:val="single"/>
        </w:rPr>
      </w:r>
    </w:p>
    <w:p>
      <w:pPr>
        <w:pStyle w:val="Normal"/>
        <w:rPr>
          <w:sz w:val="22"/>
        </w:rPr>
      </w:pPr>
      <w:r>
        <w:rPr>
          <w:sz w:val="22"/>
        </w:rPr>
      </w:r>
    </w:p>
    <w:p>
      <w:pPr>
        <w:pStyle w:val="Normal"/>
        <w:rPr/>
      </w:pPr>
      <w:r>
        <w:rPr/>
      </w:r>
    </w:p>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V09140.4</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lowerRoman"/>
      <w:lvlText w:val="(%1)"/>
      <w:lvlJc w:val="start"/>
      <w:pPr>
        <w:tabs>
          <w:tab w:val="num" w:pos="5760"/>
        </w:tabs>
        <w:ind w:start="5760" w:hanging="720"/>
      </w:pPr>
      <w:rPr/>
    </w:lvl>
    <w:lvl w:ilvl="1">
      <w:start w:val="2"/>
      <w:numFmt w:val="lowerLetter"/>
      <w:lvlText w:val="(%2)"/>
      <w:lvlJc w:val="start"/>
      <w:pPr>
        <w:tabs>
          <w:tab w:val="num" w:pos="6480"/>
        </w:tabs>
        <w:ind w:start="6480" w:hanging="720"/>
      </w:pPr>
      <w:rPr/>
    </w:lvl>
    <w:lvl w:ilvl="2">
      <w:start w:val="1"/>
      <w:numFmt w:val="lowerRoman"/>
      <w:lvlText w:val="%3."/>
      <w:lvlJc w:val="end"/>
      <w:pPr>
        <w:tabs>
          <w:tab w:val="num" w:pos="6840"/>
        </w:tabs>
        <w:ind w:start="6840" w:hanging="180"/>
      </w:pPr>
    </w:lvl>
    <w:lvl w:ilvl="3">
      <w:start w:val="1"/>
      <w:numFmt w:val="decimal"/>
      <w:lvlText w:val="%4."/>
      <w:lvlJc w:val="start"/>
      <w:pPr>
        <w:tabs>
          <w:tab w:val="num" w:pos="7560"/>
        </w:tabs>
        <w:ind w:start="7560" w:hanging="360"/>
      </w:pPr>
    </w:lvl>
    <w:lvl w:ilvl="4">
      <w:start w:val="1"/>
      <w:numFmt w:val="lowerLetter"/>
      <w:lvlText w:val="%5."/>
      <w:lvlJc w:val="start"/>
      <w:pPr>
        <w:tabs>
          <w:tab w:val="num" w:pos="8280"/>
        </w:tabs>
        <w:ind w:start="8280" w:hanging="360"/>
      </w:pPr>
    </w:lvl>
    <w:lvl w:ilvl="5">
      <w:start w:val="1"/>
      <w:numFmt w:val="lowerRoman"/>
      <w:lvlText w:val="%6."/>
      <w:lvlJc w:val="end"/>
      <w:pPr>
        <w:tabs>
          <w:tab w:val="num" w:pos="9000"/>
        </w:tabs>
        <w:ind w:start="9000" w:hanging="180"/>
      </w:pPr>
    </w:lvl>
    <w:lvl w:ilvl="6">
      <w:start w:val="1"/>
      <w:numFmt w:val="decimal"/>
      <w:lvlText w:val="%7."/>
      <w:lvlJc w:val="start"/>
      <w:pPr>
        <w:tabs>
          <w:tab w:val="num" w:pos="9720"/>
        </w:tabs>
        <w:ind w:start="9720" w:hanging="360"/>
      </w:pPr>
    </w:lvl>
    <w:lvl w:ilvl="7">
      <w:start w:val="1"/>
      <w:numFmt w:val="lowerLetter"/>
      <w:lvlText w:val="%8."/>
      <w:lvlJc w:val="start"/>
      <w:pPr>
        <w:tabs>
          <w:tab w:val="num" w:pos="10440"/>
        </w:tabs>
        <w:ind w:start="10440" w:hanging="360"/>
      </w:pPr>
    </w:lvl>
    <w:lvl w:ilvl="8">
      <w:start w:val="1"/>
      <w:numFmt w:val="lowerRoman"/>
      <w:lvlText w:val="%9."/>
      <w:lvlJc w:val="end"/>
      <w:pPr>
        <w:tabs>
          <w:tab w:val="num" w:pos="11160"/>
        </w:tabs>
        <w:ind w:start="1116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pPr>
    <w:rPr>
      <w:sz w:val="22"/>
      <w:lang w:eastAsia="en-US"/>
    </w:rPr>
  </w:style>
  <w:style w:type="paragraph" w:styleId="BodyTextIndent2">
    <w:name w:val="Body Text Indent 2"/>
    <w:basedOn w:val="Normal"/>
    <w:qFormat/>
    <w:pPr>
      <w:tabs>
        <w:tab w:val="clear" w:pos="720"/>
        <w:tab w:val="left" w:pos="-1440" w:leader="none"/>
        <w:tab w:val="left" w:pos="-720" w:leader="none"/>
      </w:tabs>
      <w:suppressAutoHyphens w:val="true"/>
      <w:ind w:hanging="0" w:start="4320" w:end="0"/>
      <w:jc w:val="both"/>
    </w:pPr>
    <w:rPr>
      <w:sz w:val="22"/>
    </w:rPr>
  </w:style>
  <w:style w:type="paragraph" w:styleId="BodyTextIndent3">
    <w:name w:val="Body Text Indent 3"/>
    <w:basedOn w:val="Normal"/>
    <w:qFormat/>
    <w:pPr>
      <w:ind w:hanging="0" w:start="720"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2001-04-12T13:30:00Z</dcterms:created>
  <dc:creator>ECT</dc:creator>
  <dc:description/>
  <dc:language>en-CA</dc:language>
  <cp:lastModifiedBy>Diane Anderson</cp:lastModifiedBy>
  <dcterms:modified xsi:type="dcterms:W3CDTF">2001-04-12T14:29:00Z</dcterms:modified>
  <cp:revision>4</cp:revision>
  <dc:subject>NUI Energy Brokers, Inc.</dc:subject>
  <dc:title>V09140.4</dc:title>
</cp:coreProperties>
</file>