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BRIAN BARTH</w:t>
      </w:r>
    </w:p>
    <w:p>
      <w:pPr>
        <w:pStyle w:val="Normal"/>
        <w:jc w:val="center"/>
        <w:rPr>
          <w:b/>
          <w:sz w:val="28"/>
        </w:rPr>
      </w:pPr>
      <w:r>
        <w:rPr>
          <w:b/>
          <w:sz w:val="28"/>
        </w:rPr>
      </w:r>
    </w:p>
    <w:p>
      <w:pPr>
        <w:pStyle w:val="Heading2"/>
        <w:ind w:hanging="0" w:start="0"/>
        <w:rPr>
          <w:sz w:val="28"/>
          <w:u w:val="none"/>
        </w:rPr>
      </w:pPr>
      <w:r>
        <w:rPr>
          <w:sz w:val="28"/>
          <w:u w:val="none"/>
        </w:rPr>
        <w:t xml:space="preserve">SUMMARY OF NSM </w:t>
      </w:r>
    </w:p>
    <w:p>
      <w:pPr>
        <w:pStyle w:val="Heading2"/>
        <w:ind w:hanging="0" w:start="0"/>
        <w:rPr>
          <w:sz w:val="28"/>
        </w:rPr>
      </w:pPr>
      <w:r>
        <w:rPr>
          <w:sz w:val="28"/>
        </w:rPr>
        <w:t>DUE DILIGENCE PROCEDURES</w:t>
      </w:r>
    </w:p>
    <w:p>
      <w:pPr>
        <w:pStyle w:val="Normal"/>
        <w:rPr>
          <w:sz w:val="28"/>
        </w:rPr>
      </w:pPr>
      <w:r>
        <w:rPr>
          <w:sz w:val="28"/>
        </w:rPr>
      </w:r>
    </w:p>
    <w:p>
      <w:pPr>
        <w:pStyle w:val="Normal"/>
        <w:rPr/>
      </w:pPr>
      <w:r>
        <w:rPr/>
      </w:r>
    </w:p>
    <w:p>
      <w:pPr>
        <w:pStyle w:val="BodyTextIndent"/>
        <w:ind w:hanging="900" w:start="900" w:end="0"/>
        <w:jc w:val="both"/>
        <w:rPr/>
      </w:pPr>
      <w:r>
        <w:rPr>
          <w:sz w:val="24"/>
          <w:u w:val="single"/>
        </w:rPr>
        <w:t>Purpose</w:t>
      </w:r>
      <w:r>
        <w:rPr>
          <w:sz w:val="24"/>
        </w:rPr>
        <w:t>: To summarize some of the due diligence procedures performed by Enron in connection with its equity and debt investments in NSM.</w:t>
      </w:r>
    </w:p>
    <w:p>
      <w:pPr>
        <w:pStyle w:val="Normal"/>
        <w:ind w:hanging="720" w:start="720" w:end="0"/>
        <w:rPr>
          <w:sz w:val="24"/>
        </w:rPr>
      </w:pPr>
      <w:r>
        <w:rPr>
          <w:sz w:val="24"/>
        </w:rPr>
      </w:r>
    </w:p>
    <w:p>
      <w:pPr>
        <w:pStyle w:val="Normal"/>
        <w:numPr>
          <w:ilvl w:val="0"/>
          <w:numId w:val="2"/>
        </w:numPr>
        <w:jc w:val="both"/>
        <w:rPr>
          <w:sz w:val="24"/>
        </w:rPr>
      </w:pPr>
      <w:r>
        <w:rPr>
          <w:sz w:val="24"/>
        </w:rPr>
        <w:t>McDonald &amp; Co. Financial Projections</w:t>
      </w:r>
    </w:p>
    <w:p>
      <w:pPr>
        <w:pStyle w:val="Normal"/>
        <w:numPr>
          <w:ilvl w:val="1"/>
          <w:numId w:val="2"/>
        </w:numPr>
        <w:jc w:val="both"/>
        <w:rPr>
          <w:sz w:val="24"/>
        </w:rPr>
      </w:pPr>
      <w:r>
        <w:rPr>
          <w:sz w:val="24"/>
        </w:rPr>
        <w:t>Revenues</w:t>
      </w:r>
    </w:p>
    <w:p>
      <w:pPr>
        <w:pStyle w:val="Normal"/>
        <w:numPr>
          <w:ilvl w:val="2"/>
          <w:numId w:val="2"/>
        </w:numPr>
        <w:jc w:val="both"/>
        <w:rPr>
          <w:sz w:val="24"/>
        </w:rPr>
      </w:pPr>
      <w:r>
        <w:rPr>
          <w:sz w:val="24"/>
        </w:rPr>
        <w:t>Compared the projected volumes and pricing levels by product category (slabs, hot rolled, cold rolled, etc.) to:</w:t>
      </w:r>
    </w:p>
    <w:p>
      <w:pPr>
        <w:pStyle w:val="Normal"/>
        <w:numPr>
          <w:ilvl w:val="3"/>
          <w:numId w:val="2"/>
        </w:numPr>
        <w:jc w:val="both"/>
        <w:rPr>
          <w:sz w:val="24"/>
        </w:rPr>
      </w:pPr>
      <w:r>
        <w:rPr>
          <w:sz w:val="24"/>
        </w:rPr>
        <w:t>historical and projected demand and pricing levels in the Thai and SE Asian markets;</w:t>
      </w:r>
    </w:p>
    <w:p>
      <w:pPr>
        <w:pStyle w:val="Normal"/>
        <w:numPr>
          <w:ilvl w:val="3"/>
          <w:numId w:val="2"/>
        </w:numPr>
        <w:tabs>
          <w:tab w:val="clear" w:pos="720"/>
        </w:tabs>
        <w:jc w:val="both"/>
        <w:rPr>
          <w:sz w:val="24"/>
        </w:rPr>
      </w:pPr>
      <w:r>
        <w:rPr>
          <w:sz w:val="24"/>
        </w:rPr>
        <w:t>off-take agreements;</w:t>
      </w:r>
    </w:p>
    <w:p>
      <w:pPr>
        <w:pStyle w:val="Normal"/>
        <w:numPr>
          <w:ilvl w:val="2"/>
          <w:numId w:val="2"/>
        </w:numPr>
        <w:jc w:val="both"/>
        <w:rPr>
          <w:sz w:val="24"/>
        </w:rPr>
      </w:pPr>
      <w:r>
        <w:rPr>
          <w:sz w:val="24"/>
        </w:rPr>
        <w:t>Analyzed the impact from economic cycles on the historical sales mix;</w:t>
      </w:r>
    </w:p>
    <w:p>
      <w:pPr>
        <w:pStyle w:val="Normal"/>
        <w:numPr>
          <w:ilvl w:val="2"/>
          <w:numId w:val="2"/>
        </w:numPr>
        <w:jc w:val="both"/>
        <w:rPr>
          <w:sz w:val="24"/>
        </w:rPr>
      </w:pPr>
      <w:r>
        <w:rPr>
          <w:sz w:val="24"/>
        </w:rPr>
        <w:t>Analyzed the impact on the ramp-up curve from changes in the sales mix;</w:t>
      </w:r>
    </w:p>
    <w:p>
      <w:pPr>
        <w:pStyle w:val="Normal"/>
        <w:numPr>
          <w:ilvl w:val="2"/>
          <w:numId w:val="2"/>
        </w:numPr>
        <w:jc w:val="both"/>
        <w:rPr>
          <w:sz w:val="24"/>
        </w:rPr>
      </w:pPr>
      <w:r>
        <w:rPr>
          <w:sz w:val="24"/>
        </w:rPr>
        <w:t>Analyzed the potential impact from projected capacity additions in Thailand and SE Asia on future sales;</w:t>
      </w:r>
    </w:p>
    <w:p>
      <w:pPr>
        <w:pStyle w:val="Normal"/>
        <w:numPr>
          <w:ilvl w:val="2"/>
          <w:numId w:val="2"/>
        </w:numPr>
        <w:jc w:val="both"/>
        <w:rPr>
          <w:sz w:val="24"/>
        </w:rPr>
      </w:pPr>
      <w:r>
        <w:rPr>
          <w:sz w:val="24"/>
        </w:rPr>
        <w:t>Analyzed the potential effect on revenues from trade tariffs in Thailand and SE Asia;</w:t>
      </w:r>
    </w:p>
    <w:p>
      <w:pPr>
        <w:pStyle w:val="Normal"/>
        <w:numPr>
          <w:ilvl w:val="2"/>
          <w:numId w:val="2"/>
        </w:numPr>
        <w:jc w:val="both"/>
        <w:rPr>
          <w:sz w:val="24"/>
        </w:rPr>
      </w:pPr>
      <w:r>
        <w:rPr>
          <w:sz w:val="24"/>
        </w:rPr>
        <w:t>Discussed with NSM management and others:</w:t>
      </w:r>
    </w:p>
    <w:p>
      <w:pPr>
        <w:pStyle w:val="Normal"/>
        <w:numPr>
          <w:ilvl w:val="3"/>
          <w:numId w:val="2"/>
        </w:numPr>
        <w:jc w:val="both"/>
        <w:rPr>
          <w:sz w:val="24"/>
        </w:rPr>
      </w:pPr>
      <w:r>
        <w:rPr>
          <w:sz w:val="24"/>
        </w:rPr>
        <w:t>strategy for penetrating the local and export market;</w:t>
      </w:r>
    </w:p>
    <w:p>
      <w:pPr>
        <w:pStyle w:val="Normal"/>
        <w:numPr>
          <w:ilvl w:val="3"/>
          <w:numId w:val="2"/>
        </w:numPr>
        <w:jc w:val="both"/>
        <w:rPr>
          <w:sz w:val="24"/>
        </w:rPr>
      </w:pPr>
      <w:r>
        <w:rPr>
          <w:sz w:val="24"/>
        </w:rPr>
        <w:t>supplier and consumer reaction to a new entrant;</w:t>
      </w:r>
    </w:p>
    <w:p>
      <w:pPr>
        <w:pStyle w:val="Normal"/>
        <w:numPr>
          <w:ilvl w:val="3"/>
          <w:numId w:val="2"/>
        </w:numPr>
        <w:jc w:val="both"/>
        <w:rPr>
          <w:sz w:val="24"/>
        </w:rPr>
      </w:pPr>
      <w:r>
        <w:rPr>
          <w:sz w:val="24"/>
        </w:rPr>
        <w:t>staffing of the sales organization which included:</w:t>
      </w:r>
    </w:p>
    <w:p>
      <w:pPr>
        <w:pStyle w:val="Normal"/>
        <w:numPr>
          <w:ilvl w:val="4"/>
          <w:numId w:val="2"/>
        </w:numPr>
        <w:jc w:val="both"/>
        <w:rPr>
          <w:sz w:val="24"/>
        </w:rPr>
      </w:pPr>
      <w:r>
        <w:rPr>
          <w:sz w:val="24"/>
        </w:rPr>
        <w:t>discussion of the commercial assistance agreement with R. Perin</w:t>
      </w:r>
    </w:p>
    <w:p>
      <w:pPr>
        <w:pStyle w:val="Normal"/>
        <w:numPr>
          <w:ilvl w:val="4"/>
          <w:numId w:val="2"/>
        </w:numPr>
        <w:jc w:val="both"/>
        <w:rPr>
          <w:sz w:val="24"/>
        </w:rPr>
      </w:pPr>
      <w:r>
        <w:rPr>
          <w:sz w:val="24"/>
        </w:rPr>
        <w:t>Preussag/Klockner agreements;</w:t>
      </w:r>
    </w:p>
    <w:p>
      <w:pPr>
        <w:pStyle w:val="Normal"/>
        <w:numPr>
          <w:ilvl w:val="3"/>
          <w:numId w:val="2"/>
        </w:numPr>
        <w:jc w:val="both"/>
        <w:rPr>
          <w:sz w:val="24"/>
        </w:rPr>
      </w:pPr>
      <w:r>
        <w:rPr>
          <w:sz w:val="24"/>
        </w:rPr>
        <w:t>sales agreement structures in Thailand and SE Asia;</w:t>
      </w:r>
    </w:p>
    <w:p>
      <w:pPr>
        <w:pStyle w:val="Normal"/>
        <w:numPr>
          <w:ilvl w:val="3"/>
          <w:numId w:val="2"/>
        </w:numPr>
        <w:jc w:val="both"/>
        <w:rPr>
          <w:sz w:val="24"/>
        </w:rPr>
      </w:pPr>
      <w:r>
        <w:rPr>
          <w:sz w:val="24"/>
        </w:rPr>
        <w:t>Thai steel demand which includes:</w:t>
      </w:r>
    </w:p>
    <w:p>
      <w:pPr>
        <w:pStyle w:val="Normal"/>
        <w:numPr>
          <w:ilvl w:val="4"/>
          <w:numId w:val="2"/>
        </w:numPr>
        <w:jc w:val="both"/>
        <w:rPr>
          <w:sz w:val="24"/>
        </w:rPr>
      </w:pPr>
      <w:r>
        <w:rPr>
          <w:sz w:val="24"/>
        </w:rPr>
        <w:t>benefits of K. Sawasdi’s existing Thai industry relationships;</w:t>
      </w:r>
    </w:p>
    <w:p>
      <w:pPr>
        <w:pStyle w:val="Normal"/>
        <w:numPr>
          <w:ilvl w:val="4"/>
          <w:numId w:val="2"/>
        </w:numPr>
        <w:jc w:val="both"/>
        <w:rPr>
          <w:sz w:val="24"/>
        </w:rPr>
      </w:pPr>
      <w:r>
        <w:rPr>
          <w:sz w:val="24"/>
        </w:rPr>
        <w:t>lack of local market competition.</w:t>
      </w:r>
    </w:p>
    <w:p>
      <w:pPr>
        <w:pStyle w:val="Normal"/>
        <w:numPr>
          <w:ilvl w:val="3"/>
          <w:numId w:val="2"/>
        </w:numPr>
        <w:jc w:val="both"/>
        <w:rPr>
          <w:sz w:val="24"/>
        </w:rPr>
      </w:pPr>
      <w:r>
        <w:rPr>
          <w:sz w:val="24"/>
        </w:rPr>
        <w:t>quality issues/price discounting in the Thai market;</w:t>
      </w:r>
    </w:p>
    <w:p>
      <w:pPr>
        <w:pStyle w:val="Normal"/>
        <w:numPr>
          <w:ilvl w:val="3"/>
          <w:numId w:val="2"/>
        </w:numPr>
        <w:jc w:val="both"/>
        <w:rPr>
          <w:sz w:val="24"/>
        </w:rPr>
      </w:pPr>
      <w:r>
        <w:rPr>
          <w:sz w:val="24"/>
        </w:rPr>
        <w:t>SDI marketing assistance;</w:t>
      </w:r>
    </w:p>
    <w:p>
      <w:pPr>
        <w:pStyle w:val="Normal"/>
        <w:numPr>
          <w:ilvl w:val="3"/>
          <w:numId w:val="2"/>
        </w:numPr>
        <w:jc w:val="both"/>
        <w:rPr>
          <w:sz w:val="24"/>
        </w:rPr>
      </w:pPr>
      <w:r>
        <w:rPr>
          <w:sz w:val="24"/>
        </w:rPr>
        <w:t>NSM’s transportation comparative advantage.</w:t>
      </w:r>
    </w:p>
    <w:p>
      <w:pPr>
        <w:pStyle w:val="Normal"/>
        <w:numPr>
          <w:ilvl w:val="2"/>
          <w:numId w:val="2"/>
        </w:numPr>
        <w:jc w:val="both"/>
        <w:rPr>
          <w:sz w:val="24"/>
        </w:rPr>
      </w:pPr>
      <w:r>
        <w:rPr>
          <w:sz w:val="24"/>
        </w:rPr>
        <w:t>Prepared sensitivity analysis on volumes, prices and sales mix (see below).</w:t>
      </w:r>
    </w:p>
    <w:p>
      <w:pPr>
        <w:pStyle w:val="Normal"/>
        <w:numPr>
          <w:ilvl w:val="1"/>
          <w:numId w:val="2"/>
        </w:numPr>
        <w:jc w:val="both"/>
        <w:rPr>
          <w:sz w:val="24"/>
        </w:rPr>
      </w:pPr>
      <w:r>
        <w:rPr>
          <w:sz w:val="24"/>
        </w:rPr>
        <w:t>Ramp-Up</w:t>
      </w:r>
    </w:p>
    <w:p>
      <w:pPr>
        <w:pStyle w:val="Normal"/>
        <w:numPr>
          <w:ilvl w:val="2"/>
          <w:numId w:val="2"/>
        </w:numPr>
        <w:jc w:val="both"/>
        <w:rPr>
          <w:sz w:val="24"/>
        </w:rPr>
      </w:pPr>
      <w:r>
        <w:rPr>
          <w:sz w:val="24"/>
        </w:rPr>
        <w:t>Compared the projected ramp-up schedule to the results achieved by other plants with similar asset bases;</w:t>
      </w:r>
    </w:p>
    <w:p>
      <w:pPr>
        <w:pStyle w:val="Normal"/>
        <w:numPr>
          <w:ilvl w:val="2"/>
          <w:numId w:val="2"/>
        </w:numPr>
        <w:jc w:val="both"/>
        <w:rPr>
          <w:sz w:val="24"/>
        </w:rPr>
      </w:pPr>
      <w:r>
        <w:rPr>
          <w:sz w:val="24"/>
        </w:rPr>
        <w:t>Discussed the projected ramp-up levels with various industry experts to ascertain the reasonableness of the projections and potential pitfalls;</w:t>
      </w:r>
    </w:p>
    <w:p>
      <w:pPr>
        <w:pStyle w:val="Normal"/>
        <w:numPr>
          <w:ilvl w:val="2"/>
          <w:numId w:val="2"/>
        </w:numPr>
        <w:jc w:val="both"/>
        <w:rPr>
          <w:sz w:val="24"/>
        </w:rPr>
      </w:pPr>
      <w:r>
        <w:rPr>
          <w:sz w:val="24"/>
        </w:rPr>
        <w:t>Discussed with NSM management and others:</w:t>
      </w:r>
    </w:p>
    <w:p>
      <w:pPr>
        <w:pStyle w:val="Normal"/>
        <w:numPr>
          <w:ilvl w:val="3"/>
          <w:numId w:val="2"/>
        </w:numPr>
        <w:jc w:val="both"/>
        <w:rPr>
          <w:sz w:val="24"/>
        </w:rPr>
      </w:pPr>
      <w:r>
        <w:rPr>
          <w:sz w:val="24"/>
        </w:rPr>
        <w:t>ramp-up strategy;</w:t>
      </w:r>
    </w:p>
    <w:p>
      <w:pPr>
        <w:pStyle w:val="Normal"/>
        <w:numPr>
          <w:ilvl w:val="3"/>
          <w:numId w:val="2"/>
        </w:numPr>
        <w:jc w:val="both"/>
        <w:rPr>
          <w:sz w:val="24"/>
        </w:rPr>
      </w:pPr>
      <w:r>
        <w:rPr>
          <w:sz w:val="24"/>
        </w:rPr>
        <w:t>product quality expectations along the ramp-up curve;</w:t>
      </w:r>
    </w:p>
    <w:p>
      <w:pPr>
        <w:pStyle w:val="Normal"/>
        <w:numPr>
          <w:ilvl w:val="3"/>
          <w:numId w:val="2"/>
        </w:numPr>
        <w:jc w:val="both"/>
        <w:rPr>
          <w:sz w:val="24"/>
        </w:rPr>
      </w:pPr>
      <w:r>
        <w:rPr>
          <w:sz w:val="24"/>
        </w:rPr>
        <w:t>impact of the order book on the ramp-up curve (width issue);</w:t>
      </w:r>
    </w:p>
    <w:p>
      <w:pPr>
        <w:pStyle w:val="Normal"/>
        <w:numPr>
          <w:ilvl w:val="3"/>
          <w:numId w:val="2"/>
        </w:numPr>
        <w:jc w:val="both"/>
        <w:rPr>
          <w:sz w:val="24"/>
        </w:rPr>
      </w:pPr>
      <w:r>
        <w:rPr>
          <w:sz w:val="24"/>
        </w:rPr>
        <w:t>experience of plant management and staff in start-ups including:</w:t>
      </w:r>
    </w:p>
    <w:p>
      <w:pPr>
        <w:pStyle w:val="Normal"/>
        <w:numPr>
          <w:ilvl w:val="4"/>
          <w:numId w:val="2"/>
        </w:numPr>
        <w:jc w:val="both"/>
        <w:rPr>
          <w:sz w:val="24"/>
        </w:rPr>
      </w:pPr>
      <w:r>
        <w:rPr>
          <w:sz w:val="24"/>
        </w:rPr>
        <w:t>benefits from Nucor/Hylsa training;</w:t>
      </w:r>
    </w:p>
    <w:p>
      <w:pPr>
        <w:pStyle w:val="Normal"/>
        <w:numPr>
          <w:ilvl w:val="4"/>
          <w:numId w:val="2"/>
        </w:numPr>
        <w:jc w:val="both"/>
        <w:rPr>
          <w:sz w:val="24"/>
        </w:rPr>
      </w:pPr>
      <w:r>
        <w:rPr>
          <w:sz w:val="24"/>
        </w:rPr>
        <w:t>SDI providing further training assistance;</w:t>
      </w:r>
    </w:p>
    <w:p>
      <w:pPr>
        <w:pStyle w:val="Normal"/>
        <w:numPr>
          <w:ilvl w:val="3"/>
          <w:numId w:val="2"/>
        </w:numPr>
        <w:tabs>
          <w:tab w:val="clear" w:pos="720"/>
          <w:tab w:val="left" w:pos="1530" w:leader="none"/>
        </w:tabs>
        <w:jc w:val="both"/>
        <w:rPr>
          <w:sz w:val="24"/>
        </w:rPr>
      </w:pPr>
      <w:r>
        <w:rPr>
          <w:sz w:val="24"/>
        </w:rPr>
        <w:t>benefits from SDI start-up assistance;</w:t>
      </w:r>
    </w:p>
    <w:p>
      <w:pPr>
        <w:pStyle w:val="Normal"/>
        <w:numPr>
          <w:ilvl w:val="3"/>
          <w:numId w:val="2"/>
        </w:numPr>
        <w:tabs>
          <w:tab w:val="clear" w:pos="720"/>
          <w:tab w:val="left" w:pos="1530" w:leader="none"/>
        </w:tabs>
        <w:jc w:val="both"/>
        <w:rPr>
          <w:sz w:val="24"/>
        </w:rPr>
      </w:pPr>
      <w:r>
        <w:rPr>
          <w:sz w:val="24"/>
        </w:rPr>
        <w:t>benefits from access to SDI’s “start-up technology”;</w:t>
      </w:r>
    </w:p>
    <w:p>
      <w:pPr>
        <w:pStyle w:val="Normal"/>
        <w:numPr>
          <w:ilvl w:val="3"/>
          <w:numId w:val="2"/>
        </w:numPr>
        <w:tabs>
          <w:tab w:val="clear" w:pos="720"/>
          <w:tab w:val="left" w:pos="1530" w:leader="none"/>
        </w:tabs>
        <w:jc w:val="both"/>
        <w:rPr>
          <w:sz w:val="24"/>
        </w:rPr>
      </w:pPr>
      <w:r>
        <w:rPr>
          <w:sz w:val="24"/>
        </w:rPr>
        <w:t>SDI’s own comfort with the start-up projections;</w:t>
      </w:r>
    </w:p>
    <w:p>
      <w:pPr>
        <w:pStyle w:val="Normal"/>
        <w:numPr>
          <w:ilvl w:val="3"/>
          <w:numId w:val="2"/>
        </w:numPr>
        <w:jc w:val="both"/>
        <w:rPr>
          <w:sz w:val="24"/>
        </w:rPr>
      </w:pPr>
      <w:r>
        <w:rPr>
          <w:sz w:val="24"/>
        </w:rPr>
        <w:t>start-up assistance from key equipment suppliers:</w:t>
      </w:r>
    </w:p>
    <w:p>
      <w:pPr>
        <w:pStyle w:val="Normal"/>
        <w:numPr>
          <w:ilvl w:val="4"/>
          <w:numId w:val="2"/>
        </w:numPr>
        <w:jc w:val="both"/>
        <w:rPr>
          <w:sz w:val="24"/>
        </w:rPr>
      </w:pPr>
      <w:r>
        <w:rPr>
          <w:sz w:val="24"/>
        </w:rPr>
        <w:t>Mannesmann</w:t>
      </w:r>
    </w:p>
    <w:p>
      <w:pPr>
        <w:pStyle w:val="Normal"/>
        <w:numPr>
          <w:ilvl w:val="4"/>
          <w:numId w:val="2"/>
        </w:numPr>
        <w:jc w:val="both"/>
        <w:rPr>
          <w:sz w:val="24"/>
        </w:rPr>
      </w:pPr>
      <w:r>
        <w:rPr>
          <w:sz w:val="24"/>
        </w:rPr>
        <w:t>SMS</w:t>
      </w:r>
    </w:p>
    <w:p>
      <w:pPr>
        <w:pStyle w:val="Normal"/>
        <w:numPr>
          <w:ilvl w:val="3"/>
          <w:numId w:val="2"/>
        </w:numPr>
        <w:jc w:val="both"/>
        <w:rPr>
          <w:sz w:val="24"/>
        </w:rPr>
      </w:pPr>
      <w:r>
        <w:rPr>
          <w:sz w:val="24"/>
        </w:rPr>
        <w:t>Hatch’s conclusion on the reasonableness off the start-up curves;</w:t>
      </w:r>
    </w:p>
    <w:p>
      <w:pPr>
        <w:pStyle w:val="Normal"/>
        <w:numPr>
          <w:ilvl w:val="3"/>
          <w:numId w:val="2"/>
        </w:numPr>
        <w:tabs>
          <w:tab w:val="clear" w:pos="720"/>
          <w:tab w:val="left" w:pos="1530" w:leader="none"/>
        </w:tabs>
        <w:jc w:val="both"/>
        <w:rPr>
          <w:sz w:val="24"/>
        </w:rPr>
      </w:pPr>
      <w:r>
        <w:rPr>
          <w:sz w:val="24"/>
        </w:rPr>
        <w:t>Start-up risks associated with key equipment including:</w:t>
      </w:r>
    </w:p>
    <w:p>
      <w:pPr>
        <w:pStyle w:val="Normal"/>
        <w:numPr>
          <w:ilvl w:val="4"/>
          <w:numId w:val="2"/>
        </w:numPr>
        <w:jc w:val="both"/>
        <w:rPr>
          <w:sz w:val="24"/>
        </w:rPr>
      </w:pPr>
      <w:r>
        <w:rPr>
          <w:sz w:val="24"/>
        </w:rPr>
        <w:t>start-up results of similar equipment at other plants</w:t>
      </w:r>
    </w:p>
    <w:p>
      <w:pPr>
        <w:pStyle w:val="Normal"/>
        <w:numPr>
          <w:ilvl w:val="3"/>
          <w:numId w:val="2"/>
        </w:numPr>
        <w:tabs>
          <w:tab w:val="clear" w:pos="720"/>
          <w:tab w:val="left" w:pos="1530" w:leader="none"/>
        </w:tabs>
        <w:jc w:val="both"/>
        <w:rPr>
          <w:sz w:val="24"/>
        </w:rPr>
      </w:pPr>
      <w:r>
        <w:rPr>
          <w:sz w:val="24"/>
        </w:rPr>
        <w:t>previous NSM start-up results and issues;</w:t>
      </w:r>
    </w:p>
    <w:p>
      <w:pPr>
        <w:pStyle w:val="Normal"/>
        <w:numPr>
          <w:ilvl w:val="2"/>
          <w:numId w:val="2"/>
        </w:numPr>
        <w:jc w:val="both"/>
        <w:rPr>
          <w:sz w:val="24"/>
        </w:rPr>
      </w:pPr>
      <w:r>
        <w:rPr>
          <w:sz w:val="24"/>
        </w:rPr>
        <w:t>Prepared sensitivity analysis on the ramp-up (see below)</w:t>
      </w:r>
    </w:p>
    <w:p>
      <w:pPr>
        <w:pStyle w:val="Normal"/>
        <w:numPr>
          <w:ilvl w:val="1"/>
          <w:numId w:val="2"/>
        </w:numPr>
        <w:jc w:val="both"/>
        <w:rPr>
          <w:sz w:val="24"/>
        </w:rPr>
      </w:pPr>
      <w:r>
        <w:rPr>
          <w:sz w:val="24"/>
        </w:rPr>
        <w:t>Direct Manufacturing Costs</w:t>
      </w:r>
    </w:p>
    <w:p>
      <w:pPr>
        <w:pStyle w:val="Normal"/>
        <w:numPr>
          <w:ilvl w:val="2"/>
          <w:numId w:val="2"/>
        </w:numPr>
        <w:jc w:val="both"/>
        <w:rPr>
          <w:sz w:val="24"/>
        </w:rPr>
      </w:pPr>
      <w:r>
        <w:rPr>
          <w:sz w:val="24"/>
        </w:rPr>
        <w:t>Compared the projected cost levels by product category (slabs, hot rolled, cold rolled, etc.) to:</w:t>
      </w:r>
    </w:p>
    <w:p>
      <w:pPr>
        <w:pStyle w:val="Normal"/>
        <w:numPr>
          <w:ilvl w:val="3"/>
          <w:numId w:val="2"/>
        </w:numPr>
        <w:jc w:val="both"/>
        <w:rPr>
          <w:sz w:val="24"/>
        </w:rPr>
      </w:pPr>
      <w:r>
        <w:rPr>
          <w:sz w:val="24"/>
        </w:rPr>
        <w:t>NSM’s position on the World Steel Dynamics production cost curve vis-à-vis other Thai and SE Asian producers;</w:t>
      </w:r>
    </w:p>
    <w:p>
      <w:pPr>
        <w:pStyle w:val="Normal"/>
        <w:numPr>
          <w:ilvl w:val="3"/>
          <w:numId w:val="2"/>
        </w:numPr>
        <w:jc w:val="both"/>
        <w:rPr>
          <w:sz w:val="24"/>
        </w:rPr>
      </w:pPr>
      <w:r>
        <w:rPr>
          <w:sz w:val="24"/>
        </w:rPr>
        <w:t>other mini-mill cost structures with similar asset bases;</w:t>
      </w:r>
    </w:p>
    <w:p>
      <w:pPr>
        <w:pStyle w:val="Normal"/>
        <w:numPr>
          <w:ilvl w:val="2"/>
          <w:numId w:val="2"/>
        </w:numPr>
        <w:jc w:val="both"/>
        <w:rPr>
          <w:sz w:val="24"/>
        </w:rPr>
      </w:pPr>
      <w:r>
        <w:rPr>
          <w:sz w:val="24"/>
        </w:rPr>
        <w:t>Discussed with NSM management and others:</w:t>
      </w:r>
    </w:p>
    <w:p>
      <w:pPr>
        <w:pStyle w:val="Normal"/>
        <w:numPr>
          <w:ilvl w:val="3"/>
          <w:numId w:val="2"/>
        </w:numPr>
        <w:jc w:val="both"/>
        <w:rPr>
          <w:sz w:val="24"/>
        </w:rPr>
      </w:pPr>
      <w:r>
        <w:rPr>
          <w:sz w:val="24"/>
        </w:rPr>
        <w:t>factors that could impair NSM’s projected cost curve statistics;</w:t>
      </w:r>
    </w:p>
    <w:p>
      <w:pPr>
        <w:pStyle w:val="Normal"/>
        <w:numPr>
          <w:ilvl w:val="3"/>
          <w:numId w:val="2"/>
        </w:numPr>
        <w:jc w:val="both"/>
        <w:rPr>
          <w:sz w:val="24"/>
        </w:rPr>
      </w:pPr>
      <w:r>
        <w:rPr>
          <w:sz w:val="24"/>
        </w:rPr>
        <w:t>procurement plans with respect to key raw material inputs;</w:t>
      </w:r>
    </w:p>
    <w:p>
      <w:pPr>
        <w:pStyle w:val="Normal"/>
        <w:numPr>
          <w:ilvl w:val="3"/>
          <w:numId w:val="2"/>
        </w:numPr>
        <w:jc w:val="both"/>
        <w:rPr>
          <w:sz w:val="24"/>
        </w:rPr>
      </w:pPr>
      <w:r>
        <w:rPr>
          <w:sz w:val="24"/>
        </w:rPr>
        <w:t>existing contractual relationships with key commodity suppliers;</w:t>
      </w:r>
    </w:p>
    <w:p>
      <w:pPr>
        <w:pStyle w:val="Normal"/>
        <w:numPr>
          <w:ilvl w:val="3"/>
          <w:numId w:val="2"/>
        </w:numPr>
        <w:jc w:val="both"/>
        <w:rPr>
          <w:sz w:val="24"/>
        </w:rPr>
      </w:pPr>
      <w:r>
        <w:rPr>
          <w:sz w:val="24"/>
        </w:rPr>
        <w:t>availability of supply of key commodities;</w:t>
      </w:r>
    </w:p>
    <w:p>
      <w:pPr>
        <w:pStyle w:val="Normal"/>
        <w:numPr>
          <w:ilvl w:val="3"/>
          <w:numId w:val="2"/>
        </w:numPr>
        <w:jc w:val="both"/>
        <w:rPr>
          <w:sz w:val="24"/>
        </w:rPr>
      </w:pPr>
      <w:r>
        <w:rPr>
          <w:sz w:val="24"/>
        </w:rPr>
        <w:t>Hatch’s report concluding reasonableness of production cost estimates;</w:t>
      </w:r>
    </w:p>
    <w:p>
      <w:pPr>
        <w:pStyle w:val="Normal"/>
        <w:numPr>
          <w:ilvl w:val="3"/>
          <w:numId w:val="2"/>
        </w:numPr>
        <w:jc w:val="both"/>
        <w:rPr>
          <w:sz w:val="24"/>
        </w:rPr>
      </w:pPr>
      <w:r>
        <w:rPr>
          <w:sz w:val="24"/>
        </w:rPr>
        <w:t>stability labor rates and supply</w:t>
      </w:r>
    </w:p>
    <w:p>
      <w:pPr>
        <w:pStyle w:val="Normal"/>
        <w:numPr>
          <w:ilvl w:val="2"/>
          <w:numId w:val="2"/>
        </w:numPr>
        <w:jc w:val="both"/>
        <w:rPr>
          <w:sz w:val="24"/>
        </w:rPr>
      </w:pPr>
      <w:r>
        <w:rPr>
          <w:sz w:val="24"/>
        </w:rPr>
        <w:t>Determined the baht/USD cost structure mix for key raw material inputs for inclusion in Enron’s sensitivity analysis (see below).</w:t>
      </w:r>
    </w:p>
    <w:p>
      <w:pPr>
        <w:pStyle w:val="Normal"/>
        <w:numPr>
          <w:ilvl w:val="2"/>
          <w:numId w:val="2"/>
        </w:numPr>
        <w:jc w:val="both"/>
        <w:rPr>
          <w:sz w:val="24"/>
        </w:rPr>
      </w:pPr>
      <w:r>
        <w:rPr>
          <w:sz w:val="24"/>
        </w:rPr>
        <w:t>Prepared sensitivity analysis on key raw material inputs (see below).</w:t>
      </w:r>
    </w:p>
    <w:p>
      <w:pPr>
        <w:pStyle w:val="Normal"/>
        <w:numPr>
          <w:ilvl w:val="1"/>
          <w:numId w:val="2"/>
        </w:numPr>
        <w:jc w:val="both"/>
        <w:rPr>
          <w:sz w:val="24"/>
        </w:rPr>
      </w:pPr>
      <w:r>
        <w:rPr>
          <w:sz w:val="24"/>
        </w:rPr>
        <w:t>Direct Manufacturing Costs</w:t>
      </w:r>
    </w:p>
    <w:p>
      <w:pPr>
        <w:pStyle w:val="Normal"/>
        <w:ind w:start="720" w:end="0"/>
        <w:jc w:val="both"/>
        <w:rPr>
          <w:sz w:val="24"/>
        </w:rPr>
      </w:pPr>
      <w:r>
        <w:rPr>
          <w:sz w:val="24"/>
        </w:rPr>
      </w:r>
    </w:p>
    <w:p>
      <w:pPr>
        <w:pStyle w:val="Normal"/>
        <w:numPr>
          <w:ilvl w:val="1"/>
          <w:numId w:val="2"/>
        </w:numPr>
        <w:jc w:val="both"/>
        <w:rPr>
          <w:sz w:val="24"/>
        </w:rPr>
      </w:pPr>
      <w:r>
        <w:rPr>
          <w:sz w:val="24"/>
        </w:rPr>
        <w:t>Capital Costs</w:t>
      </w:r>
    </w:p>
    <w:p>
      <w:pPr>
        <w:pStyle w:val="Normal"/>
        <w:numPr>
          <w:ilvl w:val="1"/>
          <w:numId w:val="2"/>
        </w:numPr>
        <w:jc w:val="both"/>
        <w:rPr>
          <w:sz w:val="24"/>
        </w:rPr>
      </w:pPr>
      <w:r>
        <w:rPr>
          <w:sz w:val="24"/>
        </w:rPr>
        <w:t>Income Taxes</w:t>
      </w:r>
    </w:p>
    <w:p>
      <w:pPr>
        <w:pStyle w:val="Normal"/>
        <w:numPr>
          <w:ilvl w:val="1"/>
          <w:numId w:val="2"/>
        </w:numPr>
        <w:jc w:val="both"/>
        <w:rPr>
          <w:sz w:val="24"/>
        </w:rPr>
      </w:pPr>
      <w:r>
        <w:rPr>
          <w:sz w:val="24"/>
        </w:rPr>
        <w:t>Cash Flows</w:t>
      </w:r>
    </w:p>
    <w:p>
      <w:pPr>
        <w:pStyle w:val="Normal"/>
        <w:numPr>
          <w:ilvl w:val="1"/>
          <w:numId w:val="2"/>
        </w:numPr>
        <w:jc w:val="both"/>
        <w:rPr>
          <w:sz w:val="24"/>
        </w:rPr>
      </w:pPr>
      <w:r>
        <w:rPr>
          <w:sz w:val="24"/>
        </w:rPr>
        <w:t>Technology</w:t>
      </w:r>
    </w:p>
    <w:p>
      <w:pPr>
        <w:pStyle w:val="Normal"/>
        <w:numPr>
          <w:ilvl w:val="1"/>
          <w:numId w:val="2"/>
        </w:numPr>
        <w:jc w:val="both"/>
        <w:rPr>
          <w:sz w:val="24"/>
        </w:rPr>
      </w:pPr>
      <w:r>
        <w:rPr>
          <w:sz w:val="24"/>
        </w:rPr>
        <w:t>Funded Debt</w:t>
      </w:r>
    </w:p>
    <w:p>
      <w:pPr>
        <w:pStyle w:val="Normal"/>
        <w:jc w:val="both"/>
        <w:rPr>
          <w:sz w:val="24"/>
        </w:rPr>
      </w:pPr>
      <w:r>
        <w:rPr>
          <w:sz w:val="24"/>
        </w:rPr>
      </w:r>
    </w:p>
    <w:p>
      <w:pPr>
        <w:pStyle w:val="Normal"/>
        <w:numPr>
          <w:ilvl w:val="1"/>
          <w:numId w:val="2"/>
        </w:numPr>
        <w:jc w:val="both"/>
        <w:rPr>
          <w:sz w:val="24"/>
        </w:rPr>
      </w:pPr>
      <w:r>
        <w:rPr>
          <w:sz w:val="24"/>
        </w:rPr>
        <w:t>Fund</w:t>
      </w:r>
    </w:p>
    <w:p>
      <w:pPr>
        <w:pStyle w:val="Normal"/>
        <w:jc w:val="both"/>
        <w:rPr>
          <w:sz w:val="24"/>
        </w:rPr>
      </w:pPr>
      <w:r>
        <w:rPr>
          <w:sz w:val="24"/>
        </w:rPr>
      </w:r>
    </w:p>
    <w:p>
      <w:pPr>
        <w:pStyle w:val="Normal"/>
        <w:numPr>
          <w:ilvl w:val="2"/>
          <w:numId w:val="2"/>
        </w:numPr>
        <w:jc w:val="both"/>
        <w:rPr>
          <w:sz w:val="24"/>
        </w:rPr>
      </w:pPr>
      <w:r>
        <w:rPr>
          <w:sz w:val="24"/>
        </w:rPr>
        <w:t>Collateral sharing mechanisms;</w:t>
      </w:r>
    </w:p>
    <w:p>
      <w:pPr>
        <w:pStyle w:val="Normal"/>
        <w:numPr>
          <w:ilvl w:val="1"/>
          <w:numId w:val="2"/>
        </w:numPr>
        <w:jc w:val="both"/>
        <w:rPr>
          <w:sz w:val="24"/>
        </w:rPr>
      </w:pPr>
      <w:r>
        <w:rPr>
          <w:sz w:val="24"/>
        </w:rPr>
        <w:t>Working Capital</w:t>
      </w:r>
    </w:p>
    <w:p>
      <w:pPr>
        <w:pStyle w:val="Normal"/>
        <w:numPr>
          <w:ilvl w:val="1"/>
          <w:numId w:val="2"/>
        </w:numPr>
        <w:jc w:val="both"/>
        <w:rPr>
          <w:sz w:val="24"/>
        </w:rPr>
      </w:pPr>
      <w:r>
        <w:rPr>
          <w:sz w:val="24"/>
        </w:rPr>
        <w:t>Interest Rates</w:t>
      </w:r>
    </w:p>
    <w:p>
      <w:pPr>
        <w:pStyle w:val="Normal"/>
        <w:jc w:val="both"/>
        <w:rPr>
          <w:sz w:val="24"/>
        </w:rPr>
      </w:pPr>
      <w:r>
        <w:rPr>
          <w:sz w:val="24"/>
        </w:rPr>
      </w:r>
    </w:p>
    <w:p>
      <w:pPr>
        <w:pStyle w:val="Normal"/>
        <w:numPr>
          <w:ilvl w:val="1"/>
          <w:numId w:val="2"/>
        </w:numPr>
        <w:jc w:val="both"/>
        <w:rPr>
          <w:sz w:val="24"/>
        </w:rPr>
      </w:pPr>
      <w:r>
        <w:rPr>
          <w:sz w:val="24"/>
        </w:rPr>
        <w:t>Sensitivity Analysis</w:t>
      </w:r>
    </w:p>
    <w:p>
      <w:pPr>
        <w:pStyle w:val="Normal"/>
        <w:numPr>
          <w:ilvl w:val="2"/>
          <w:numId w:val="2"/>
        </w:numPr>
        <w:jc w:val="both"/>
        <w:rPr>
          <w:sz w:val="24"/>
        </w:rPr>
      </w:pPr>
      <w:r>
        <w:rPr>
          <w:sz w:val="24"/>
        </w:rPr>
        <w:t>Multiple sensitivity analysis scenarios were prepared to determine how changes in specific projection variables impacted NSM’s debt service coverage levels. Analyses were performed on the following variables:</w:t>
      </w:r>
    </w:p>
    <w:p>
      <w:pPr>
        <w:pStyle w:val="Normal"/>
        <w:numPr>
          <w:ilvl w:val="3"/>
          <w:numId w:val="2"/>
        </w:numPr>
        <w:jc w:val="both"/>
        <w:rPr>
          <w:sz w:val="24"/>
        </w:rPr>
      </w:pPr>
      <w:r>
        <w:rPr>
          <w:sz w:val="24"/>
        </w:rPr>
        <w:t>ramp-up;</w:t>
      </w:r>
    </w:p>
    <w:p>
      <w:pPr>
        <w:pStyle w:val="Normal"/>
        <w:numPr>
          <w:ilvl w:val="3"/>
          <w:numId w:val="2"/>
        </w:numPr>
        <w:jc w:val="both"/>
        <w:rPr>
          <w:sz w:val="24"/>
        </w:rPr>
      </w:pPr>
      <w:r>
        <w:rPr>
          <w:sz w:val="24"/>
        </w:rPr>
        <w:t>sales mix;</w:t>
      </w:r>
    </w:p>
    <w:p>
      <w:pPr>
        <w:pStyle w:val="Normal"/>
        <w:numPr>
          <w:ilvl w:val="3"/>
          <w:numId w:val="2"/>
        </w:numPr>
        <w:jc w:val="both"/>
        <w:rPr>
          <w:sz w:val="24"/>
        </w:rPr>
      </w:pPr>
      <w:r>
        <w:rPr>
          <w:sz w:val="24"/>
        </w:rPr>
        <w:t>sales levels;</w:t>
      </w:r>
    </w:p>
    <w:p>
      <w:pPr>
        <w:pStyle w:val="Normal"/>
        <w:numPr>
          <w:ilvl w:val="3"/>
          <w:numId w:val="2"/>
        </w:numPr>
        <w:jc w:val="both"/>
        <w:rPr>
          <w:sz w:val="24"/>
        </w:rPr>
      </w:pPr>
      <w:r>
        <w:rPr>
          <w:sz w:val="24"/>
        </w:rPr>
        <w:t>sales prices;</w:t>
      </w:r>
    </w:p>
    <w:p>
      <w:pPr>
        <w:pStyle w:val="Normal"/>
        <w:numPr>
          <w:ilvl w:val="3"/>
          <w:numId w:val="2"/>
        </w:numPr>
        <w:jc w:val="both"/>
        <w:rPr>
          <w:sz w:val="24"/>
        </w:rPr>
      </w:pPr>
      <w:r>
        <w:rPr>
          <w:sz w:val="24"/>
        </w:rPr>
        <w:t>export vs. import sales levels;</w:t>
      </w:r>
    </w:p>
    <w:p>
      <w:pPr>
        <w:pStyle w:val="Normal"/>
        <w:numPr>
          <w:ilvl w:val="3"/>
          <w:numId w:val="2"/>
        </w:numPr>
        <w:jc w:val="both"/>
        <w:rPr>
          <w:sz w:val="24"/>
        </w:rPr>
      </w:pPr>
      <w:r>
        <w:rPr>
          <w:sz w:val="24"/>
        </w:rPr>
        <w:t>baht/USD exchange rates;</w:t>
      </w:r>
    </w:p>
    <w:p>
      <w:pPr>
        <w:pStyle w:val="Normal"/>
        <w:numPr>
          <w:ilvl w:val="3"/>
          <w:numId w:val="2"/>
        </w:numPr>
        <w:jc w:val="both"/>
        <w:rPr>
          <w:sz w:val="24"/>
        </w:rPr>
      </w:pPr>
      <w:r>
        <w:rPr>
          <w:sz w:val="24"/>
        </w:rPr>
        <w:t>baht devaluations and domestic price recovery;</w:t>
      </w:r>
    </w:p>
    <w:p>
      <w:pPr>
        <w:pStyle w:val="Normal"/>
        <w:numPr>
          <w:ilvl w:val="3"/>
          <w:numId w:val="2"/>
        </w:numPr>
        <w:jc w:val="both"/>
        <w:rPr>
          <w:sz w:val="24"/>
        </w:rPr>
      </w:pPr>
      <w:r>
        <w:rPr>
          <w:sz w:val="24"/>
        </w:rPr>
        <w:t>major manufacturing costs/yields as follows:</w:t>
      </w:r>
    </w:p>
    <w:p>
      <w:pPr>
        <w:pStyle w:val="Normal"/>
        <w:numPr>
          <w:ilvl w:val="4"/>
          <w:numId w:val="2"/>
        </w:numPr>
        <w:jc w:val="both"/>
        <w:rPr>
          <w:sz w:val="24"/>
        </w:rPr>
      </w:pPr>
      <w:r>
        <w:rPr>
          <w:sz w:val="24"/>
        </w:rPr>
        <w:t>scrap</w:t>
      </w:r>
    </w:p>
    <w:p>
      <w:pPr>
        <w:pStyle w:val="Normal"/>
        <w:numPr>
          <w:ilvl w:val="4"/>
          <w:numId w:val="2"/>
        </w:numPr>
        <w:jc w:val="both"/>
        <w:rPr>
          <w:sz w:val="24"/>
        </w:rPr>
      </w:pPr>
      <w:r>
        <w:rPr>
          <w:sz w:val="24"/>
        </w:rPr>
        <w:t>iron ore</w:t>
      </w:r>
    </w:p>
    <w:p>
      <w:pPr>
        <w:pStyle w:val="Normal"/>
        <w:numPr>
          <w:ilvl w:val="4"/>
          <w:numId w:val="2"/>
        </w:numPr>
        <w:jc w:val="both"/>
        <w:rPr>
          <w:sz w:val="24"/>
        </w:rPr>
      </w:pPr>
      <w:r>
        <w:rPr>
          <w:sz w:val="24"/>
        </w:rPr>
        <w:t>pig iron</w:t>
      </w:r>
    </w:p>
    <w:p>
      <w:pPr>
        <w:pStyle w:val="Normal"/>
        <w:numPr>
          <w:ilvl w:val="4"/>
          <w:numId w:val="2"/>
        </w:numPr>
        <w:jc w:val="both"/>
        <w:rPr>
          <w:sz w:val="24"/>
        </w:rPr>
      </w:pPr>
      <w:r>
        <w:rPr>
          <w:sz w:val="24"/>
        </w:rPr>
        <w:t>coal</w:t>
      </w:r>
    </w:p>
    <w:p>
      <w:pPr>
        <w:pStyle w:val="Normal"/>
        <w:numPr>
          <w:ilvl w:val="4"/>
          <w:numId w:val="2"/>
        </w:numPr>
        <w:jc w:val="both"/>
        <w:rPr>
          <w:sz w:val="24"/>
        </w:rPr>
      </w:pPr>
      <w:r>
        <w:rPr>
          <w:sz w:val="24"/>
        </w:rPr>
        <w:t>zinc</w:t>
      </w:r>
    </w:p>
    <w:p>
      <w:pPr>
        <w:pStyle w:val="Normal"/>
        <w:numPr>
          <w:ilvl w:val="4"/>
          <w:numId w:val="2"/>
        </w:numPr>
        <w:jc w:val="both"/>
        <w:rPr>
          <w:sz w:val="24"/>
        </w:rPr>
      </w:pPr>
      <w:r>
        <w:rPr>
          <w:sz w:val="24"/>
        </w:rPr>
        <w:t>natural gas</w:t>
      </w:r>
    </w:p>
    <w:p>
      <w:pPr>
        <w:pStyle w:val="Normal"/>
        <w:numPr>
          <w:ilvl w:val="4"/>
          <w:numId w:val="2"/>
        </w:numPr>
        <w:jc w:val="both"/>
        <w:rPr>
          <w:sz w:val="24"/>
        </w:rPr>
      </w:pPr>
      <w:r>
        <w:rPr>
          <w:sz w:val="24"/>
        </w:rPr>
        <w:t>power</w:t>
      </w:r>
    </w:p>
    <w:p>
      <w:pPr>
        <w:pStyle w:val="Normal"/>
        <w:numPr>
          <w:ilvl w:val="4"/>
          <w:numId w:val="2"/>
        </w:numPr>
        <w:jc w:val="both"/>
        <w:rPr>
          <w:sz w:val="24"/>
        </w:rPr>
      </w:pPr>
      <w:r>
        <w:rPr>
          <w:sz w:val="24"/>
        </w:rPr>
        <w:t>production yields</w:t>
      </w:r>
    </w:p>
    <w:p>
      <w:pPr>
        <w:pStyle w:val="Normal"/>
        <w:numPr>
          <w:ilvl w:val="4"/>
          <w:numId w:val="2"/>
        </w:numPr>
        <w:jc w:val="both"/>
        <w:rPr>
          <w:sz w:val="24"/>
        </w:rPr>
      </w:pPr>
      <w:r>
        <w:rPr>
          <w:sz w:val="24"/>
        </w:rPr>
        <w:t>interest rates</w:t>
      </w:r>
    </w:p>
    <w:p>
      <w:pPr>
        <w:pStyle w:val="Normal"/>
        <w:numPr>
          <w:ilvl w:val="3"/>
          <w:numId w:val="2"/>
        </w:numPr>
        <w:jc w:val="both"/>
        <w:rPr>
          <w:sz w:val="24"/>
        </w:rPr>
      </w:pPr>
      <w:r>
        <w:rPr>
          <w:sz w:val="24"/>
        </w:rPr>
        <w:t>changes in the targeted capital structure</w:t>
      </w:r>
    </w:p>
    <w:p>
      <w:pPr>
        <w:pStyle w:val="Normal"/>
        <w:numPr>
          <w:ilvl w:val="2"/>
          <w:numId w:val="2"/>
        </w:numPr>
        <w:jc w:val="both"/>
        <w:rPr>
          <w:sz w:val="24"/>
        </w:rPr>
      </w:pPr>
      <w:r>
        <w:rPr>
          <w:sz w:val="24"/>
        </w:rPr>
        <w:t xml:space="preserve">Performed RAROC (risk adjusted return on capital) analysis on the above variables. This analysis performs thousands of iterations on the above variables simultaneously utilize historical pricing data to calculate an expected value at specific confidence levels (99%, 95%, etc.). </w:t>
      </w:r>
    </w:p>
    <w:p>
      <w:pPr>
        <w:pStyle w:val="Normal"/>
        <w:rPr>
          <w:sz w:val="24"/>
        </w:rPr>
      </w:pPr>
      <w:r>
        <w:rPr>
          <w:sz w:val="24"/>
        </w:rPr>
      </w:r>
    </w:p>
    <w:p>
      <w:pPr>
        <w:pStyle w:val="Normal"/>
        <w:numPr>
          <w:ilvl w:val="0"/>
          <w:numId w:val="2"/>
        </w:numPr>
        <w:jc w:val="both"/>
        <w:rPr>
          <w:sz w:val="24"/>
        </w:rPr>
      </w:pPr>
      <w:r>
        <w:rPr>
          <w:sz w:val="24"/>
        </w:rPr>
        <w:t>Political Risk</w:t>
      </w:r>
    </w:p>
    <w:p>
      <w:pPr>
        <w:pStyle w:val="Normal"/>
        <w:numPr>
          <w:ilvl w:val="0"/>
          <w:numId w:val="2"/>
        </w:numPr>
        <w:jc w:val="both"/>
        <w:rPr>
          <w:sz w:val="24"/>
        </w:rPr>
      </w:pPr>
      <w:r>
        <w:rPr>
          <w:sz w:val="24"/>
        </w:rPr>
        <w:t>Thai Infrastructure</w:t>
      </w:r>
    </w:p>
    <w:p>
      <w:pPr>
        <w:pStyle w:val="Normal"/>
        <w:numPr>
          <w:ilvl w:val="0"/>
          <w:numId w:val="2"/>
        </w:numPr>
        <w:jc w:val="both"/>
        <w:rPr>
          <w:sz w:val="24"/>
        </w:rPr>
      </w:pPr>
      <w:r>
        <w:rPr>
          <w:sz w:val="24"/>
        </w:rPr>
        <w:t>Key Personnel and Management</w:t>
      </w:r>
    </w:p>
    <w:p>
      <w:pPr>
        <w:pStyle w:val="Normal"/>
        <w:numPr>
          <w:ilvl w:val="0"/>
          <w:numId w:val="2"/>
        </w:numPr>
        <w:jc w:val="both"/>
        <w:rPr>
          <w:sz w:val="24"/>
        </w:rPr>
      </w:pPr>
      <w:r>
        <w:rPr>
          <w:sz w:val="24"/>
        </w:rPr>
        <w:t>Accounting Internal Controls</w:t>
      </w:r>
    </w:p>
    <w:p>
      <w:pPr>
        <w:pStyle w:val="Normal"/>
        <w:numPr>
          <w:ilvl w:val="1"/>
          <w:numId w:val="2"/>
        </w:numPr>
        <w:jc w:val="both"/>
        <w:rPr>
          <w:sz w:val="24"/>
        </w:rPr>
      </w:pPr>
      <w:r>
        <w:rPr>
          <w:sz w:val="24"/>
        </w:rPr>
        <w:t>Integration of receiving, production, inventory and shipping systems</w:t>
      </w:r>
    </w:p>
    <w:p>
      <w:pPr>
        <w:pStyle w:val="Normal"/>
        <w:numPr>
          <w:ilvl w:val="1"/>
          <w:numId w:val="2"/>
        </w:numPr>
        <w:jc w:val="both"/>
        <w:rPr>
          <w:sz w:val="24"/>
        </w:rPr>
      </w:pPr>
      <w:r>
        <w:rPr>
          <w:sz w:val="24"/>
        </w:rPr>
        <w:t>Affffiliate transactions</w:t>
      </w:r>
    </w:p>
    <w:p>
      <w:pPr>
        <w:pStyle w:val="Normal"/>
        <w:numPr>
          <w:ilvl w:val="1"/>
          <w:numId w:val="2"/>
        </w:numPr>
        <w:jc w:val="both"/>
        <w:rPr>
          <w:sz w:val="24"/>
        </w:rPr>
      </w:pPr>
      <w:r>
        <w:rPr>
          <w:sz w:val="24"/>
        </w:rPr>
        <w:t>McDonald &amp; Co.’s experience in establishing accounting controls at new plants (SDI, Qualitech, etc.);</w:t>
      </w:r>
    </w:p>
    <w:p>
      <w:pPr>
        <w:pStyle w:val="Normal"/>
        <w:numPr>
          <w:ilvl w:val="1"/>
          <w:numId w:val="2"/>
        </w:numPr>
        <w:jc w:val="both"/>
        <w:rPr>
          <w:sz w:val="24"/>
        </w:rPr>
      </w:pPr>
      <w:r>
        <w:rPr>
          <w:sz w:val="24"/>
        </w:rPr>
        <w:t>G. Heasly’s experience in establishing accounting controls at new steel plants;</w:t>
      </w:r>
    </w:p>
    <w:p>
      <w:pPr>
        <w:pStyle w:val="Normal"/>
        <w:numPr>
          <w:ilvl w:val="1"/>
          <w:numId w:val="2"/>
        </w:numPr>
        <w:jc w:val="both"/>
        <w:rPr>
          <w:sz w:val="24"/>
        </w:rPr>
      </w:pPr>
      <w:r>
        <w:rPr>
          <w:sz w:val="24"/>
        </w:rPr>
        <w:t>MCD indicating that a management letter was not issued for fiscal year 1998</w:t>
      </w:r>
    </w:p>
    <w:p>
      <w:pPr>
        <w:pStyle w:val="Normal"/>
        <w:numPr>
          <w:ilvl w:val="0"/>
          <w:numId w:val="2"/>
        </w:numPr>
        <w:jc w:val="both"/>
        <w:rPr>
          <w:sz w:val="24"/>
        </w:rPr>
      </w:pPr>
      <w:r>
        <w:rPr>
          <w:sz w:val="24"/>
        </w:rPr>
        <w:t>Equipment Suppliers and Technology</w:t>
      </w:r>
    </w:p>
    <w:p>
      <w:pPr>
        <w:pStyle w:val="Normal"/>
        <w:rPr>
          <w:sz w:val="24"/>
        </w:rPr>
      </w:pPr>
      <w:r>
        <w:rPr>
          <w:sz w:val="24"/>
        </w:rPr>
      </w:r>
    </w:p>
    <w:p>
      <w:pPr>
        <w:pStyle w:val="Normal"/>
        <w:rPr/>
      </w:pPr>
      <w:r>
        <w:rPr/>
      </w:r>
    </w:p>
    <w:p>
      <w:pPr>
        <w:pStyle w:val="Heading1"/>
        <w:ind w:hanging="0" w:start="0"/>
        <w:rPr/>
      </w:pPr>
      <w:r>
        <w:rPr/>
      </w:r>
    </w:p>
    <w:p>
      <w:pPr>
        <w:pStyle w:val="Normal"/>
        <w:rPr>
          <w:u w:val="single"/>
        </w:rPr>
      </w:pPr>
      <w:r>
        <w:rPr>
          <w:u w:val="single"/>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8"/>
        <w:u w:val="single"/>
      </w:rPr>
    </w:pPr>
    <w:r>
      <w:rPr>
        <w:sz w:val="28"/>
        <w:u w:val="single"/>
      </w:rPr>
      <w:t>DUE DILIGENCE PROCEDURES (CONTINUED)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2001-02-12T13:36:00Z</dcterms:created>
  <dc:creator>bbarth</dc:creator>
  <dc:description/>
  <dc:language>en-CA</dc:language>
  <cp:lastModifiedBy>bbarth</cp:lastModifiedBy>
  <cp:lastPrinted>2001-02-12T15:41:00Z</cp:lastPrinted>
  <dcterms:modified xsi:type="dcterms:W3CDTF">2001-02-12T19:40:00Z</dcterms:modified>
  <cp:revision>55</cp:revision>
  <dc:subject/>
  <dc:title/>
</cp:coreProperties>
</file>