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rPr>
          <w:sz w:val="22"/>
        </w:rPr>
      </w:pPr>
      <w:r>
        <w:rPr>
          <w:sz w:val="22"/>
        </w:rPr>
      </w:r>
    </w:p>
    <w:p>
      <w:pPr>
        <w:pStyle w:val="Normal"/>
        <w:suppressAutoHyphens w:val="true"/>
        <w:rPr>
          <w:sz w:val="22"/>
        </w:rPr>
      </w:pPr>
      <w:r>
        <w:rPr>
          <w:sz w:val="22"/>
        </w:rPr>
      </w:r>
    </w:p>
    <w:p>
      <w:pPr>
        <w:pStyle w:val="Normal"/>
        <w:suppressAutoHyphens w:val="true"/>
        <w:rPr>
          <w:sz w:val="22"/>
        </w:rPr>
      </w:pPr>
      <w:r>
        <w:rPr>
          <w:sz w:val="22"/>
        </w:rPr>
      </w:r>
    </w:p>
    <w:p>
      <w:pPr>
        <w:pStyle w:val="Normal"/>
        <w:suppressAutoHyphens w:val="true"/>
        <w:rPr>
          <w:sz w:val="22"/>
        </w:rPr>
      </w:pPr>
      <w:r>
        <w:rPr>
          <w:sz w:val="22"/>
        </w:rPr>
      </w:r>
    </w:p>
    <w:p>
      <w:pPr>
        <w:pStyle w:val="Normal"/>
        <w:suppressAutoHyphens w:val="true"/>
        <w:rPr>
          <w:sz w:val="22"/>
        </w:rPr>
      </w:pPr>
      <w:r>
        <w:rPr>
          <w:sz w:val="22"/>
        </w:rPr>
      </w:r>
    </w:p>
    <w:p>
      <w:pPr>
        <w:pStyle w:val="Normal"/>
        <w:suppressAutoHyphens w:val="true"/>
        <w:rPr>
          <w:sz w:val="22"/>
        </w:rPr>
      </w:pPr>
      <w:r>
        <w:rPr>
          <w:sz w:val="22"/>
        </w:rPr>
      </w:r>
    </w:p>
    <w:p>
      <w:pPr>
        <w:pStyle w:val="Normal"/>
        <w:suppressAutoHyphens w:val="true"/>
        <w:rPr>
          <w:sz w:val="22"/>
          <w:u w:val="single"/>
        </w:rPr>
      </w:pPr>
      <w:r>
        <w:rPr>
          <w:sz w:val="22"/>
          <w:u w:val="single"/>
        </w:rPr>
        <w:t>_____________________________________________________________________________________</w:t>
      </w:r>
    </w:p>
    <w:p>
      <w:pPr>
        <w:pStyle w:val="Normal"/>
        <w:numPr>
          <w:ilvl w:val="0"/>
          <w:numId w:val="0"/>
        </w:numPr>
        <w:suppressAutoHyphens w:val="true"/>
        <w:jc w:val="center"/>
        <w:outlineLvl w:val="0"/>
        <w:rPr>
          <w:sz w:val="22"/>
          <w:u w:val="single"/>
        </w:rPr>
      </w:pPr>
      <w:r>
        <w:rPr>
          <w:sz w:val="22"/>
          <w:u w:val="single"/>
        </w:rPr>
      </w:r>
    </w:p>
    <w:p>
      <w:pPr>
        <w:pStyle w:val="Normal"/>
        <w:numPr>
          <w:ilvl w:val="0"/>
          <w:numId w:val="0"/>
        </w:numPr>
        <w:suppressAutoHyphens w:val="true"/>
        <w:jc w:val="center"/>
        <w:outlineLvl w:val="0"/>
        <w:rPr>
          <w:sz w:val="22"/>
        </w:rPr>
      </w:pPr>
      <w:r>
        <w:rPr>
          <w:sz w:val="22"/>
        </w:rPr>
      </w:r>
    </w:p>
    <w:p>
      <w:pPr>
        <w:pStyle w:val="Normal"/>
        <w:numPr>
          <w:ilvl w:val="0"/>
          <w:numId w:val="0"/>
        </w:numPr>
        <w:suppressAutoHyphens w:val="true"/>
        <w:jc w:val="center"/>
        <w:outlineLvl w:val="0"/>
        <w:rPr>
          <w:sz w:val="22"/>
        </w:rPr>
      </w:pPr>
      <w:r>
        <w:rPr>
          <w:sz w:val="22"/>
        </w:rPr>
      </w:r>
    </w:p>
    <w:p>
      <w:pPr>
        <w:pStyle w:val="Normal"/>
        <w:numPr>
          <w:ilvl w:val="0"/>
          <w:numId w:val="0"/>
        </w:numPr>
        <w:suppressAutoHyphens w:val="true"/>
        <w:jc w:val="center"/>
        <w:outlineLvl w:val="0"/>
        <w:rPr>
          <w:sz w:val="22"/>
        </w:rPr>
      </w:pPr>
      <w:r>
        <w:rPr>
          <w:sz w:val="22"/>
        </w:rPr>
      </w:r>
    </w:p>
    <w:p>
      <w:pPr>
        <w:pStyle w:val="Normal"/>
        <w:numPr>
          <w:ilvl w:val="0"/>
          <w:numId w:val="0"/>
        </w:numPr>
        <w:suppressAutoHyphens w:val="true"/>
        <w:jc w:val="center"/>
        <w:outlineLvl w:val="0"/>
        <w:rPr>
          <w:sz w:val="22"/>
        </w:rPr>
      </w:pPr>
      <w:r>
        <w:rPr>
          <w:sz w:val="22"/>
        </w:rPr>
      </w:r>
    </w:p>
    <w:p>
      <w:pPr>
        <w:pStyle w:val="Normal"/>
        <w:numPr>
          <w:ilvl w:val="0"/>
          <w:numId w:val="0"/>
        </w:numPr>
        <w:suppressAutoHyphens w:val="true"/>
        <w:jc w:val="center"/>
        <w:outlineLvl w:val="0"/>
        <w:rPr>
          <w:smallCaps/>
          <w:sz w:val="22"/>
        </w:rPr>
      </w:pPr>
      <w:r>
        <w:rPr>
          <w:smallCaps/>
          <w:sz w:val="22"/>
        </w:rPr>
        <w:t>The New Energy Trading Company, L.P.</w:t>
      </w:r>
    </w:p>
    <w:p>
      <w:pPr>
        <w:pStyle w:val="Normal"/>
        <w:suppressAutoHyphens w:val="true"/>
        <w:jc w:val="center"/>
        <w:rPr>
          <w:sz w:val="22"/>
        </w:rPr>
      </w:pPr>
      <w:r>
        <w:rPr>
          <w:sz w:val="22"/>
        </w:rPr>
        <w:t>(A Delaware Limited Partnership)</w:t>
      </w:r>
    </w:p>
    <w:p>
      <w:pPr>
        <w:pStyle w:val="Normal"/>
        <w:suppressAutoHyphens w:val="true"/>
        <w:jc w:val="center"/>
        <w:rPr>
          <w:sz w:val="22"/>
        </w:rPr>
      </w:pPr>
      <w:r>
        <w:rPr>
          <w:sz w:val="22"/>
        </w:rPr>
      </w:r>
    </w:p>
    <w:p>
      <w:pPr>
        <w:pStyle w:val="Normal"/>
        <w:suppressAutoHyphens w:val="true"/>
        <w:jc w:val="center"/>
        <w:rPr>
          <w:sz w:val="22"/>
        </w:rPr>
      </w:pPr>
      <w:r>
        <w:rPr>
          <w:sz w:val="22"/>
        </w:rPr>
      </w:r>
    </w:p>
    <w:p>
      <w:pPr>
        <w:pStyle w:val="Normal"/>
        <w:suppressAutoHyphens w:val="true"/>
        <w:jc w:val="center"/>
        <w:rPr>
          <w:sz w:val="22"/>
        </w:rPr>
      </w:pPr>
      <w:r>
        <w:rPr>
          <w:sz w:val="22"/>
        </w:rPr>
      </w:r>
    </w:p>
    <w:p>
      <w:pPr>
        <w:pStyle w:val="Normal"/>
        <w:suppressAutoHyphens w:val="true"/>
        <w:jc w:val="center"/>
        <w:rPr>
          <w:sz w:val="22"/>
        </w:rPr>
      </w:pPr>
      <w:r>
        <w:rPr>
          <w:sz w:val="22"/>
        </w:rPr>
        <w:t>AMENDED AND RESTATED</w:t>
      </w:r>
    </w:p>
    <w:p>
      <w:pPr>
        <w:pStyle w:val="Normal"/>
        <w:numPr>
          <w:ilvl w:val="0"/>
          <w:numId w:val="0"/>
        </w:numPr>
        <w:suppressAutoHyphens w:val="true"/>
        <w:jc w:val="center"/>
        <w:outlineLvl w:val="0"/>
        <w:rPr>
          <w:sz w:val="22"/>
        </w:rPr>
      </w:pPr>
      <w:r>
        <w:rPr>
          <w:sz w:val="22"/>
        </w:rPr>
        <w:t>LIMITED PARTNERSHIP AGREEMENT</w:t>
      </w:r>
    </w:p>
    <w:p>
      <w:pPr>
        <w:pStyle w:val="Normal"/>
        <w:suppressAutoHyphens w:val="true"/>
        <w:rPr>
          <w:sz w:val="22"/>
        </w:rPr>
      </w:pPr>
      <w:r>
        <w:rPr>
          <w:sz w:val="22"/>
        </w:rPr>
      </w:r>
    </w:p>
    <w:p>
      <w:pPr>
        <w:pStyle w:val="Normal"/>
        <w:suppressAutoHyphens w:val="true"/>
        <w:rPr>
          <w:sz w:val="22"/>
        </w:rPr>
      </w:pPr>
      <w:r>
        <w:rPr>
          <w:sz w:val="22"/>
        </w:rPr>
      </w:r>
    </w:p>
    <w:p>
      <w:pPr>
        <w:pStyle w:val="Normal"/>
        <w:suppressAutoHyphens w:val="true"/>
        <w:rPr>
          <w:sz w:val="22"/>
        </w:rPr>
      </w:pPr>
      <w:r>
        <w:rPr>
          <w:sz w:val="22"/>
        </w:rPr>
      </w:r>
    </w:p>
    <w:p>
      <w:pPr>
        <w:pStyle w:val="Normal"/>
        <w:suppressAutoHyphens w:val="true"/>
        <w:rPr>
          <w:sz w:val="22"/>
        </w:rPr>
      </w:pPr>
      <w:r>
        <w:rPr>
          <w:sz w:val="22"/>
        </w:rPr>
      </w:r>
    </w:p>
    <w:p>
      <w:pPr>
        <w:pStyle w:val="Normal"/>
        <w:suppressAutoHyphens w:val="true"/>
        <w:rPr>
          <w:sz w:val="22"/>
        </w:rPr>
      </w:pPr>
      <w:r>
        <w:rPr>
          <w:sz w:val="22"/>
        </w:rPr>
      </w:r>
    </w:p>
    <w:p>
      <w:pPr>
        <w:pStyle w:val="Normal"/>
        <w:suppressAutoHyphens w:val="true"/>
        <w:jc w:val="center"/>
        <w:rPr>
          <w:sz w:val="22"/>
        </w:rPr>
      </w:pPr>
      <w:r>
        <w:rPr>
          <w:sz w:val="22"/>
        </w:rPr>
        <w:t>____________________</w:t>
      </w:r>
    </w:p>
    <w:p>
      <w:pPr>
        <w:pStyle w:val="Normal"/>
        <w:suppressAutoHyphens w:val="true"/>
        <w:jc w:val="center"/>
        <w:rPr>
          <w:sz w:val="22"/>
        </w:rPr>
      </w:pPr>
      <w:r>
        <w:rPr>
          <w:sz w:val="22"/>
        </w:rPr>
      </w:r>
    </w:p>
    <w:p>
      <w:pPr>
        <w:pStyle w:val="Normal"/>
        <w:suppressAutoHyphens w:val="true"/>
        <w:jc w:val="center"/>
        <w:rPr>
          <w:sz w:val="22"/>
        </w:rPr>
      </w:pPr>
      <w:r>
        <w:rPr>
          <w:sz w:val="22"/>
        </w:rPr>
      </w:r>
    </w:p>
    <w:p>
      <w:pPr>
        <w:pStyle w:val="Normal"/>
        <w:suppressAutoHyphens w:val="true"/>
        <w:jc w:val="center"/>
        <w:rPr>
          <w:sz w:val="22"/>
        </w:rPr>
      </w:pPr>
      <w:r>
        <w:rPr>
          <w:sz w:val="22"/>
        </w:rPr>
      </w:r>
    </w:p>
    <w:p>
      <w:pPr>
        <w:pStyle w:val="Normal"/>
        <w:numPr>
          <w:ilvl w:val="0"/>
          <w:numId w:val="0"/>
        </w:numPr>
        <w:suppressAutoHyphens w:val="true"/>
        <w:jc w:val="center"/>
        <w:outlineLvl w:val="0"/>
        <w:rPr>
          <w:sz w:val="22"/>
        </w:rPr>
      </w:pPr>
      <w:r>
        <w:rPr>
          <w:sz w:val="22"/>
        </w:rPr>
        <w:t>Dated as of [_____________], 2002</w:t>
      </w:r>
    </w:p>
    <w:p>
      <w:pPr>
        <w:pStyle w:val="Normal"/>
        <w:suppressAutoHyphens w:val="true"/>
        <w:jc w:val="center"/>
        <w:rPr>
          <w:sz w:val="22"/>
        </w:rPr>
      </w:pPr>
      <w:r>
        <w:rPr>
          <w:sz w:val="22"/>
        </w:rPr>
      </w:r>
    </w:p>
    <w:p>
      <w:pPr>
        <w:pStyle w:val="Normal"/>
        <w:suppressAutoHyphens w:val="true"/>
        <w:jc w:val="center"/>
        <w:rPr>
          <w:sz w:val="22"/>
        </w:rPr>
      </w:pPr>
      <w:r>
        <w:rPr>
          <w:sz w:val="22"/>
        </w:rPr>
      </w:r>
    </w:p>
    <w:p>
      <w:pPr>
        <w:pStyle w:val="Normal"/>
        <w:suppressAutoHyphens w:val="true"/>
        <w:jc w:val="center"/>
        <w:rPr>
          <w:sz w:val="22"/>
        </w:rPr>
      </w:pPr>
      <w:r>
        <w:rPr>
          <w:sz w:val="22"/>
        </w:rPr>
        <w:t>____________________</w:t>
      </w:r>
    </w:p>
    <w:p>
      <w:pPr>
        <w:pStyle w:val="Normal"/>
        <w:suppressAutoHyphens w:val="true"/>
        <w:rPr>
          <w:sz w:val="22"/>
        </w:rPr>
      </w:pPr>
      <w:r>
        <w:rPr>
          <w:sz w:val="22"/>
        </w:rPr>
      </w:r>
    </w:p>
    <w:p>
      <w:pPr>
        <w:pStyle w:val="Normal"/>
        <w:suppressAutoHyphens w:val="true"/>
        <w:rPr>
          <w:sz w:val="22"/>
        </w:rPr>
      </w:pPr>
      <w:r>
        <w:rPr>
          <w:sz w:val="22"/>
        </w:rPr>
      </w:r>
    </w:p>
    <w:p>
      <w:pPr>
        <w:pStyle w:val="Normal"/>
        <w:suppressAutoHyphens w:val="true"/>
        <w:rPr>
          <w:sz w:val="22"/>
        </w:rPr>
      </w:pPr>
      <w:r>
        <w:rPr>
          <w:sz w:val="22"/>
        </w:rPr>
      </w:r>
    </w:p>
    <w:p>
      <w:pPr>
        <w:pStyle w:val="Normal"/>
        <w:suppressAutoHyphens w:val="true"/>
        <w:rPr>
          <w:sz w:val="22"/>
          <w:u w:val="single"/>
        </w:rPr>
      </w:pPr>
      <w:r>
        <w:rPr>
          <w:sz w:val="22"/>
          <w:u w:val="single"/>
        </w:rPr>
        <w:t>_____________________________________________________________________________________</w:t>
      </w:r>
    </w:p>
    <w:p>
      <w:pPr>
        <w:pStyle w:val="Heading4"/>
        <w:ind w:hanging="0" w:start="0"/>
        <w:jc w:val="both"/>
        <w:rPr>
          <w:sz w:val="22"/>
        </w:rPr>
      </w:pPr>
      <w:r>
        <w:rPr>
          <w:sz w:val="22"/>
        </w:rPr>
        <w:t>INTERESTS IN THE PARTNERSHIP HAVE NOT BEEN REGISTERED UNDER THE SECURITIES LAWS OF ANY JURISDICTION AND MAY NOT BE OFFERED OR SOLD UNLESS SUCH INTERESTS HAVE BEEN REGISTERED, OR ARE EXEMPT FROM REGISTRATION UNDER ALL APPLICABLE SECURITIES LAWS.  INTERESTS IN THE PARTNERSHIP ARE SUBJECT TO CERTAIN RESTRICTIONS ON TRANSFER AND OTHER TERMS AND CONDITIONS SET FORTH IN ARTICLE VI OF THIS AGREEMENT.</w:t>
      </w:r>
    </w:p>
    <w:p>
      <w:pPr>
        <w:sectPr>
          <w:headerReference w:type="default" r:id="rId2"/>
          <w:headerReference w:type="first" r:id="rId3"/>
          <w:footerReference w:type="default" r:id="rId4"/>
          <w:footerReference w:type="first" r:id="rId5"/>
          <w:type w:val="nextPage"/>
          <w:pgSz w:w="12240" w:h="15840"/>
          <w:pgMar w:left="1440" w:right="1440" w:gutter="0" w:header="490" w:top="1440" w:footer="461" w:bottom="1440"/>
          <w:pgNumType w:start="1" w:fmt="decimal"/>
          <w:formProt w:val="false"/>
          <w:titlePg/>
          <w:textDirection w:val="lrTb"/>
          <w:docGrid w:type="default" w:linePitch="360" w:charSpace="0"/>
        </w:sectPr>
        <w:pStyle w:val="Normal"/>
        <w:suppressAutoHyphens w:val="true"/>
        <w:rPr>
          <w:sz w:val="22"/>
        </w:rPr>
      </w:pPr>
      <w:r>
        <w:rPr>
          <w:sz w:val="22"/>
        </w:rPr>
      </w:r>
    </w:p>
    <w:p>
      <w:pPr>
        <w:pStyle w:val="Normal"/>
        <w:suppressAutoHyphens w:val="true"/>
        <w:jc w:val="center"/>
        <w:rPr>
          <w:b/>
          <w:smallCaps/>
          <w:sz w:val="22"/>
        </w:rPr>
      </w:pPr>
      <w:r>
        <w:rPr>
          <w:b/>
          <w:smallCaps/>
          <w:sz w:val="22"/>
        </w:rPr>
        <w:t>The New Energy Trading Company, L.P.</w:t>
      </w:r>
    </w:p>
    <w:p>
      <w:pPr>
        <w:pStyle w:val="Normal"/>
        <w:suppressAutoHyphens w:val="true"/>
        <w:jc w:val="center"/>
        <w:rPr>
          <w:sz w:val="22"/>
        </w:rPr>
      </w:pPr>
      <w:r>
        <w:rPr>
          <w:sz w:val="22"/>
        </w:rPr>
        <w:t>AMENDED AND RESTATED</w:t>
      </w:r>
    </w:p>
    <w:p>
      <w:pPr>
        <w:pStyle w:val="Normal"/>
        <w:suppressAutoHyphens w:val="true"/>
        <w:spacing w:before="0" w:after="480"/>
        <w:jc w:val="center"/>
        <w:rPr>
          <w:sz w:val="22"/>
        </w:rPr>
      </w:pPr>
      <w:r>
        <w:rPr>
          <w:sz w:val="22"/>
        </w:rPr>
        <w:t>LIMITED PARTNERSHIP AGREEMENT</w:t>
      </w:r>
    </w:p>
    <w:p>
      <w:pPr>
        <w:pStyle w:val="Normal"/>
        <w:suppressAutoHyphens w:val="true"/>
        <w:spacing w:before="0" w:after="240"/>
        <w:jc w:val="both"/>
        <w:rPr/>
      </w:pPr>
      <w:r>
        <w:rPr>
          <w:sz w:val="22"/>
        </w:rPr>
        <w:tab/>
        <w:t>This Amended and Restated Limited Partnership Agreement (including all schedules and annexes hereto, as it may be amended or restated from time to time, this "</w:t>
      </w:r>
      <w:r>
        <w:rPr>
          <w:sz w:val="22"/>
          <w:u w:val="single"/>
        </w:rPr>
        <w:t>Agreement</w:t>
      </w:r>
      <w:r>
        <w:rPr>
          <w:sz w:val="22"/>
        </w:rPr>
        <w:t>") of The New Energy Trading Company, L.P., a Delaware limited partnership ("</w:t>
      </w:r>
      <w:r>
        <w:rPr>
          <w:sz w:val="22"/>
          <w:u w:val="single"/>
        </w:rPr>
        <w:t>Partnership</w:t>
      </w:r>
      <w:r>
        <w:rPr>
          <w:sz w:val="22"/>
        </w:rPr>
        <w:t>"), is dated as of [_____________], 2002 (the “</w:t>
      </w:r>
      <w:r>
        <w:rPr>
          <w:sz w:val="22"/>
          <w:u w:val="single"/>
        </w:rPr>
        <w:t>Closing Date</w:t>
      </w:r>
      <w:r>
        <w:rPr>
          <w:sz w:val="22"/>
        </w:rPr>
        <w:t>”), and is made among [</w:t>
      </w:r>
      <w:r>
        <w:rPr>
          <w:sz w:val="22"/>
          <w:u w:val="single"/>
        </w:rPr>
        <w:tab/>
        <w:tab/>
      </w:r>
      <w:r>
        <w:rPr>
          <w:sz w:val="22"/>
        </w:rPr>
        <w:t>], a [</w:t>
      </w:r>
      <w:r>
        <w:rPr>
          <w:sz w:val="22"/>
          <w:u w:val="single"/>
        </w:rPr>
        <w:tab/>
        <w:tab/>
        <w:tab/>
      </w:r>
      <w:r>
        <w:rPr>
          <w:sz w:val="22"/>
        </w:rPr>
        <w:t>], as the sole general partner (in such Person’s capacity as a general partner of the Partnership, the "</w:t>
      </w:r>
      <w:r>
        <w:rPr>
          <w:sz w:val="22"/>
          <w:u w:val="single"/>
        </w:rPr>
        <w:t>General Partner</w:t>
      </w:r>
      <w:r>
        <w:rPr>
          <w:sz w:val="22"/>
        </w:rPr>
        <w:t xml:space="preserve">"), the Person listed on </w:t>
      </w:r>
      <w:r>
        <w:rPr>
          <w:b/>
          <w:sz w:val="22"/>
          <w:u w:val="single"/>
        </w:rPr>
        <w:t>Schedule I</w:t>
      </w:r>
      <w:r>
        <w:rPr>
          <w:sz w:val="22"/>
        </w:rPr>
        <w:t xml:space="preserve"> as the organizational limited partner ("</w:t>
      </w:r>
      <w:r>
        <w:rPr>
          <w:sz w:val="22"/>
          <w:u w:val="single"/>
        </w:rPr>
        <w:t>Organizational Limited Partner</w:t>
      </w:r>
      <w:r>
        <w:rPr>
          <w:sz w:val="22"/>
        </w:rPr>
        <w:t xml:space="preserve">"), and the Persons listed on </w:t>
      </w:r>
      <w:r>
        <w:rPr>
          <w:b/>
          <w:sz w:val="22"/>
          <w:u w:val="single"/>
        </w:rPr>
        <w:t>Schedule I</w:t>
      </w:r>
      <w:r>
        <w:rPr>
          <w:sz w:val="22"/>
        </w:rPr>
        <w:t xml:space="preserve"> as limited partners (in such Persons’ capacity as limited partners of the Partnership, the "</w:t>
      </w:r>
      <w:r>
        <w:rPr>
          <w:sz w:val="22"/>
          <w:u w:val="single"/>
        </w:rPr>
        <w:t>Limited Partners</w:t>
      </w:r>
      <w:r>
        <w:rPr>
          <w:sz w:val="22"/>
        </w:rPr>
        <w:t>").  The General Partner and the Limited Partners are herein collectively referred to as the "</w:t>
      </w:r>
      <w:r>
        <w:rPr>
          <w:sz w:val="22"/>
          <w:u w:val="single"/>
        </w:rPr>
        <w:t>Partners</w:t>
      </w:r>
      <w:r>
        <w:rPr>
          <w:sz w:val="22"/>
        </w:rPr>
        <w:t>."</w:t>
      </w:r>
    </w:p>
    <w:p>
      <w:pPr>
        <w:pStyle w:val="Normal"/>
        <w:suppressAutoHyphens w:val="true"/>
        <w:spacing w:before="0" w:after="240"/>
        <w:jc w:val="both"/>
        <w:rPr/>
      </w:pPr>
      <w:r>
        <w:rPr>
          <w:sz w:val="22"/>
        </w:rPr>
        <w:tab/>
        <w:t>WHEREAS, the Limited Partners, along with certain of their Affiliates, have filed voluntary petitions for relief commencing cases (the "</w:t>
      </w:r>
      <w:r>
        <w:rPr>
          <w:sz w:val="22"/>
          <w:u w:val="single"/>
        </w:rPr>
        <w:t>Chapter 11 Cases</w:t>
      </w:r>
      <w:r>
        <w:rPr>
          <w:sz w:val="22"/>
        </w:rPr>
        <w:t>") under Chapter 11 of Title 11 of the United States Code in the United States Bankruptcy Court for the Southern District of New York (the "</w:t>
      </w:r>
      <w:r>
        <w:rPr>
          <w:sz w:val="22"/>
          <w:u w:val="single"/>
        </w:rPr>
        <w:t>Bankruptcy Court</w:t>
      </w:r>
      <w:r>
        <w:rPr>
          <w:sz w:val="22"/>
        </w:rPr>
        <w:t>");</w:t>
      </w:r>
    </w:p>
    <w:p>
      <w:pPr>
        <w:pStyle w:val="Normal"/>
        <w:suppressAutoHyphens w:val="true"/>
        <w:spacing w:before="0" w:after="240"/>
        <w:jc w:val="both"/>
        <w:rPr/>
      </w:pPr>
      <w:r>
        <w:rPr>
          <w:sz w:val="22"/>
        </w:rPr>
        <w:tab/>
        <w:t>The Limited Partners are being admitted as Partners to the Partnership pursuant to and in accordance with this Agreement in connection with the contribution of specified assets and liabilities to the Partnership in accordance with the terms of that certain Contribution Agreement, dated as of January __, 2002 (the "</w:t>
      </w:r>
      <w:r>
        <w:rPr>
          <w:sz w:val="22"/>
          <w:u w:val="single"/>
        </w:rPr>
        <w:t>Contribution Agreement</w:t>
      </w:r>
      <w:r>
        <w:rPr>
          <w:sz w:val="22"/>
        </w:rPr>
        <w:t>"), by and among the Limited Partners, the Partnership and the General Partner.</w:t>
      </w:r>
    </w:p>
    <w:p>
      <w:pPr>
        <w:pStyle w:val="Normal"/>
        <w:numPr>
          <w:ilvl w:val="0"/>
          <w:numId w:val="0"/>
        </w:numPr>
        <w:suppressAutoHyphens w:val="true"/>
        <w:jc w:val="center"/>
        <w:outlineLvl w:val="0"/>
        <w:rPr>
          <w:sz w:val="22"/>
        </w:rPr>
      </w:pPr>
      <w:r>
        <w:rPr>
          <w:sz w:val="22"/>
        </w:rPr>
        <w:t>ARTICLE I</w:t>
      </w:r>
    </w:p>
    <w:p>
      <w:pPr>
        <w:pStyle w:val="Normal"/>
        <w:numPr>
          <w:ilvl w:val="0"/>
          <w:numId w:val="0"/>
        </w:numPr>
        <w:suppressAutoHyphens w:val="true"/>
        <w:spacing w:before="0" w:after="240"/>
        <w:jc w:val="center"/>
        <w:outlineLvl w:val="0"/>
        <w:rPr>
          <w:sz w:val="22"/>
          <w:u w:val="single"/>
        </w:rPr>
      </w:pPr>
      <w:r>
        <w:rPr>
          <w:sz w:val="22"/>
          <w:u w:val="single"/>
        </w:rPr>
        <w:t>Organization</w:t>
      </w:r>
    </w:p>
    <w:p>
      <w:pPr>
        <w:pStyle w:val="Normal"/>
        <w:tabs>
          <w:tab w:val="clear" w:pos="720"/>
          <w:tab w:val="left" w:pos="-720" w:leader="none"/>
        </w:tabs>
        <w:suppressAutoHyphens w:val="true"/>
        <w:spacing w:before="0" w:after="240"/>
        <w:jc w:val="both"/>
        <w:rPr/>
      </w:pPr>
      <w:r>
        <w:rPr>
          <w:sz w:val="22"/>
        </w:rPr>
        <w:tab/>
        <w:t>1.1</w:t>
        <w:tab/>
      </w:r>
      <w:r>
        <w:rPr>
          <w:sz w:val="22"/>
          <w:u w:val="single"/>
        </w:rPr>
        <w:t>Formation</w:t>
      </w:r>
      <w:r>
        <w:rPr>
          <w:sz w:val="22"/>
        </w:rPr>
        <w:t>.  The General Partner and the Organizational Limited Partner have formed the Partnership pursuant to and in accordance with the provisions of the Delaware Revised Uniform Limited Partnership Act (as amended from time to time, the "</w:t>
      </w:r>
      <w:r>
        <w:rPr>
          <w:sz w:val="22"/>
          <w:u w:val="single"/>
        </w:rPr>
        <w:t>Act</w:t>
      </w:r>
      <w:r>
        <w:rPr>
          <w:sz w:val="22"/>
        </w:rPr>
        <w:t>").  The General Partner has filed, on behalf of the Partnership, a certificate of limited partnership conforming to the Act in the office of the Secretary of State of Delaware.  The term of the Partnership began upon such filing and shall continue until liquidation and termination of the Partnership in accordance with this Agreement and the Act.  Upon the admission to the Partnership of any Limited Partner, the Organizational Limited Partner shall be repaid its entire capital contribution to the Partnership and shall automatically and immediately withdraw from the Partnership and cease to be a partner for all purposes of this Agreement, and the Partnership is hereby continued.</w:t>
      </w:r>
    </w:p>
    <w:p>
      <w:pPr>
        <w:pStyle w:val="Normal"/>
        <w:tabs>
          <w:tab w:val="clear" w:pos="720"/>
          <w:tab w:val="left" w:pos="-720" w:leader="none"/>
        </w:tabs>
        <w:suppressAutoHyphens w:val="true"/>
        <w:spacing w:before="0" w:after="240"/>
        <w:jc w:val="both"/>
        <w:rPr/>
      </w:pPr>
      <w:r>
        <w:rPr>
          <w:sz w:val="22"/>
        </w:rPr>
        <w:tab/>
        <w:t>1.2</w:t>
        <w:tab/>
      </w:r>
      <w:r>
        <w:rPr>
          <w:sz w:val="22"/>
          <w:u w:val="single"/>
        </w:rPr>
        <w:t>Name</w:t>
      </w:r>
      <w:r>
        <w:rPr>
          <w:sz w:val="22"/>
        </w:rPr>
        <w:t>.  The name of the Partnership is The New Energy Trading Company, L.P.  The General Partner may, subject to Section 3.4(b)(vi), change the name of the Partnership from time to time.  In any such event, the General Partner shall promptly file in the office of the Secretary of State of Delaware an amendment to the Partnership's certificate of limited partnership reflecting such change of name, and promptly notify the Limited Partners in writing that such filing has become effective.</w:t>
      </w:r>
    </w:p>
    <w:p>
      <w:pPr>
        <w:pStyle w:val="Normal"/>
        <w:tabs>
          <w:tab w:val="clear" w:pos="720"/>
          <w:tab w:val="left" w:pos="-720" w:leader="none"/>
        </w:tabs>
        <w:suppressAutoHyphens w:val="true"/>
        <w:spacing w:before="0" w:after="240"/>
        <w:jc w:val="both"/>
        <w:rPr/>
      </w:pPr>
      <w:r>
        <w:rPr>
          <w:sz w:val="22"/>
        </w:rPr>
        <w:tab/>
        <w:t>1.3</w:t>
        <w:tab/>
      </w:r>
      <w:r>
        <w:rPr>
          <w:sz w:val="22"/>
          <w:u w:val="single"/>
        </w:rPr>
        <w:t>Character of Business</w:t>
      </w:r>
      <w:r>
        <w:rPr>
          <w:sz w:val="22"/>
        </w:rPr>
        <w:t>.  The purposes of the Partnership shall be (i) to make markets for the physical and financial trading of Energy Commodities and to provide related risk management and financial products in the United States (the "</w:t>
      </w:r>
      <w:r>
        <w:rPr>
          <w:sz w:val="22"/>
          <w:u w:val="single"/>
        </w:rPr>
        <w:t>Business</w:t>
      </w:r>
      <w:r>
        <w:rPr>
          <w:sz w:val="22"/>
        </w:rPr>
        <w:t xml:space="preserve">") [for the purposes of clarity, the term Business shall not include retail business] and (ii) subject to Section 3.6(d), to engage or participate in any other lawful business activities in which a limited partnership organized in the State of Delaware may engage or participate.  </w:t>
      </w:r>
    </w:p>
    <w:p>
      <w:pPr>
        <w:pStyle w:val="Normal"/>
        <w:tabs>
          <w:tab w:val="clear" w:pos="720"/>
          <w:tab w:val="left" w:pos="-720" w:leader="none"/>
        </w:tabs>
        <w:suppressAutoHyphens w:val="true"/>
        <w:spacing w:before="0" w:after="240"/>
        <w:jc w:val="both"/>
        <w:rPr/>
      </w:pPr>
      <w:r>
        <w:rPr>
          <w:sz w:val="22"/>
        </w:rPr>
        <w:tab/>
        <w:t>1.4</w:t>
        <w:tab/>
      </w:r>
      <w:r>
        <w:rPr>
          <w:sz w:val="22"/>
          <w:u w:val="single"/>
        </w:rPr>
        <w:t>Registered Office and Agent</w:t>
      </w:r>
      <w:r>
        <w:rPr>
          <w:sz w:val="22"/>
        </w:rPr>
        <w:t>.  The address of the Partnership's registered agent and its registered office in the State of Delaware is [National Registered Agents, Inc., 9 East Loockerman St., Dover, DE 19901].  The principal place of business of the Partnership shall be located at [_____________________________].  The General Partner may change such registered office, registered agent, or principal place of business from time to time.  The Partnership may from time to time have such other place or places of business within or outside the State of Delaware as may be determined by the General Partner.  The General Partner shall give prompt written notice of any change of registered office, registered agent or principal or other place of business of the Partnership to each Limited Partner.</w:t>
      </w:r>
    </w:p>
    <w:p>
      <w:pPr>
        <w:pStyle w:val="Normal"/>
        <w:tabs>
          <w:tab w:val="clear" w:pos="720"/>
          <w:tab w:val="left" w:pos="-720" w:leader="none"/>
        </w:tabs>
        <w:suppressAutoHyphens w:val="true"/>
        <w:spacing w:before="0" w:after="240"/>
        <w:jc w:val="both"/>
        <w:rPr/>
      </w:pPr>
      <w:r>
        <w:rPr>
          <w:sz w:val="22"/>
        </w:rPr>
        <w:tab/>
        <w:t>1.5</w:t>
        <w:tab/>
      </w:r>
      <w:r>
        <w:rPr>
          <w:sz w:val="22"/>
          <w:u w:val="single"/>
        </w:rPr>
        <w:t>Certain Definitions</w:t>
      </w:r>
      <w:r>
        <w:rPr>
          <w:sz w:val="22"/>
        </w:rPr>
        <w:t>.  The following capitalized terms shall have the definitions set forth below when used in this Agreement:</w:t>
      </w:r>
    </w:p>
    <w:p>
      <w:pPr>
        <w:pStyle w:val="Normal"/>
        <w:tabs>
          <w:tab w:val="clear" w:pos="720"/>
          <w:tab w:val="left" w:pos="-720" w:leader="none"/>
        </w:tabs>
        <w:suppressAutoHyphens w:val="true"/>
        <w:spacing w:before="0" w:after="240"/>
        <w:jc w:val="both"/>
        <w:rPr/>
      </w:pPr>
      <w:r>
        <w:rPr>
          <w:sz w:val="22"/>
        </w:rPr>
        <w:tab/>
        <w:tab/>
        <w:t>“</w:t>
      </w:r>
      <w:r>
        <w:rPr>
          <w:sz w:val="22"/>
          <w:u w:val="single"/>
        </w:rPr>
        <w:t>Adjusted Capital Account Deficit</w:t>
      </w:r>
      <w:r>
        <w:rPr>
          <w:sz w:val="22"/>
        </w:rPr>
        <w:t>”</w:t>
      </w:r>
      <w:r>
        <w:rPr>
          <w:b/>
          <w:sz w:val="22"/>
        </w:rPr>
        <w:t xml:space="preserve"> </w:t>
      </w:r>
      <w:r>
        <w:rPr>
          <w:sz w:val="22"/>
        </w:rPr>
        <w:t>means, with respect to any Partner, the deficit balance, if any, in such Partner’s Capital Account as of the end of the relevant Fiscal Year, after giving effect to the following adjustments:</w:t>
      </w:r>
    </w:p>
    <w:p>
      <w:pPr>
        <w:pStyle w:val="StandardL3"/>
        <w:numPr>
          <w:ilvl w:val="2"/>
          <w:numId w:val="14"/>
        </w:numPr>
        <w:tabs>
          <w:tab w:val="clear" w:pos="360"/>
          <w:tab w:val="left" w:pos="2160" w:leader="none"/>
        </w:tabs>
        <w:ind w:hanging="0" w:start="0"/>
        <w:rPr>
          <w:sz w:val="22"/>
        </w:rPr>
      </w:pPr>
      <w:r>
        <w:rPr>
          <w:sz w:val="22"/>
        </w:rPr>
        <w:t>Credit to such Capital Account any amounts which such Partner is obligated to restore pursuant to any provision of this Agreement or is deemed obligated to restore pursuant to the penultimate sentences of Regulations Section 1.704</w:t>
        <w:noBreakHyphen/>
        <w:t>2(g)(1) and 1.704</w:t>
        <w:noBreakHyphen/>
        <w:t>2(i)(5); and</w:t>
      </w:r>
    </w:p>
    <w:p>
      <w:pPr>
        <w:pStyle w:val="StandardL3"/>
        <w:numPr>
          <w:ilvl w:val="2"/>
          <w:numId w:val="14"/>
        </w:numPr>
        <w:tabs>
          <w:tab w:val="clear" w:pos="360"/>
          <w:tab w:val="left" w:pos="2160" w:leader="none"/>
        </w:tabs>
        <w:ind w:hanging="0" w:start="0"/>
        <w:rPr>
          <w:sz w:val="22"/>
        </w:rPr>
      </w:pPr>
      <w:r>
        <w:rPr>
          <w:sz w:val="22"/>
        </w:rPr>
        <w:t>Debit to such Capital Account the items described in Regulations Sections 1.704 -- l(b)(2)(ii)</w:t>
      </w:r>
      <w:r>
        <w:rPr>
          <w:i/>
          <w:sz w:val="22"/>
        </w:rPr>
        <w:t>(d)(4)</w:t>
      </w:r>
      <w:r>
        <w:rPr>
          <w:sz w:val="22"/>
        </w:rPr>
        <w:t>, 1.704</w:t>
        <w:noBreakHyphen/>
        <w:t>1(b)(2)(ii)</w:t>
      </w:r>
      <w:r>
        <w:rPr>
          <w:i/>
          <w:sz w:val="22"/>
        </w:rPr>
        <w:t>(d)(5)</w:t>
      </w:r>
      <w:r>
        <w:rPr>
          <w:sz w:val="22"/>
        </w:rPr>
        <w:t>, and 1.704</w:t>
        <w:noBreakHyphen/>
        <w:t>1(b)(2)(ii)</w:t>
      </w:r>
      <w:r>
        <w:rPr>
          <w:i/>
          <w:sz w:val="22"/>
        </w:rPr>
        <w:t>(d)(6).</w:t>
      </w:r>
    </w:p>
    <w:p>
      <w:pPr>
        <w:pStyle w:val="Normal"/>
        <w:tabs>
          <w:tab w:val="clear" w:pos="720"/>
          <w:tab w:val="left" w:pos="-720" w:leader="none"/>
        </w:tabs>
        <w:suppressAutoHyphens w:val="true"/>
        <w:spacing w:before="0" w:after="240"/>
        <w:jc w:val="both"/>
        <w:rPr/>
      </w:pPr>
      <w:r>
        <w:rPr>
          <w:sz w:val="22"/>
        </w:rPr>
        <w:t>The foregoing definition of “Adjusted Capital Account Deficit” is intended to comply with the provisions of Section 1.704</w:t>
        <w:noBreakHyphen/>
        <w:t>1(b)(2)(ii)(</w:t>
      </w:r>
      <w:r>
        <w:rPr>
          <w:i/>
          <w:sz w:val="22"/>
        </w:rPr>
        <w:t>d</w:t>
      </w:r>
      <w:r>
        <w:rPr>
          <w:sz w:val="22"/>
        </w:rPr>
        <w:t>) of the Regulations and shall be interpreted consistently therewith.</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Affiliate</w:t>
      </w:r>
      <w:r>
        <w:rPr>
          <w:sz w:val="22"/>
        </w:rPr>
        <w:t>” (and, with a correlative meaning, "</w:t>
      </w:r>
      <w:r>
        <w:rPr>
          <w:sz w:val="22"/>
          <w:u w:val="single"/>
        </w:rPr>
        <w:t>affiliated</w:t>
      </w:r>
      <w:r>
        <w:rPr>
          <w:sz w:val="22"/>
        </w:rPr>
        <w:t>") means, with respect to any person, any direct or indirect subsidiary of such person, and any other person that directly, or through one or more intermediaries, controls or is controlled by or is under common control with such first person, and if such a person is an individual, any member of the immediate family (including parents, spouse and children) of such individual and any trust whose principal beneficiary is such individual or one or more members of such immediate family and any person who is controlled by any such member or trust.  As used in this definition, "control" (including, with correlative meanings, "</w:t>
      </w:r>
      <w:r>
        <w:rPr>
          <w:sz w:val="22"/>
          <w:u w:val="single"/>
        </w:rPr>
        <w:t>controlled by</w:t>
      </w:r>
      <w:r>
        <w:rPr>
          <w:sz w:val="22"/>
        </w:rPr>
        <w:t>" and "</w:t>
      </w:r>
      <w:r>
        <w:rPr>
          <w:sz w:val="22"/>
          <w:u w:val="single"/>
        </w:rPr>
        <w:t>under common control with</w:t>
      </w:r>
      <w:r>
        <w:rPr>
          <w:sz w:val="22"/>
        </w:rPr>
        <w:t xml:space="preserve">") means possession, directly or indirectly, of power to direct or cause the direction of management or policies (whether through ownership of securities or partnership or other ownership interests, by contract or otherwise). </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Appraisal</w:t>
      </w:r>
      <w:r>
        <w:rPr>
          <w:sz w:val="22"/>
        </w:rPr>
        <w:t>” means a determination of the fair market value of 100% of the Percentage Interests of the Partnership determined in accordance with this paragraph (the "</w:t>
      </w:r>
      <w:r>
        <w:rPr>
          <w:sz w:val="22"/>
          <w:u w:val="single"/>
        </w:rPr>
        <w:t>Appraised Value</w:t>
      </w:r>
      <w:r>
        <w:rPr>
          <w:sz w:val="22"/>
        </w:rPr>
        <w:t>").  If the General Partner and the Limited Partners whose interests are subject to an Appraisal cannot agree on an Appraised Value, the Appraised Value will be determined by three Appraisers, one of which shall be selected by the General Partner, one of which shall be selected by a majority in interest of the Limited Partners whose interests are the subject of the Appraisal, and the third of which (the "</w:t>
      </w:r>
      <w:r>
        <w:rPr>
          <w:sz w:val="22"/>
          <w:u w:val="single"/>
        </w:rPr>
        <w:t>Third Appraiser</w:t>
      </w:r>
      <w:r>
        <w:rPr>
          <w:sz w:val="22"/>
        </w:rPr>
        <w:t>") shall be selected by the two Appraisers selected by the Partners. If, within 30 days after the selection of the Third Appraiser, the three Appraisers are unable to agree as to the Appraised Value, then on the 31st day following selection of the Third Appraiser (or such other date as the Appraisers may mutually agree but not later than the 40th day following selection of the Third Appraiser) the Appraisers shall simultaneously deliver to one another their written determinations (the “</w:t>
      </w:r>
      <w:r>
        <w:rPr>
          <w:sz w:val="22"/>
          <w:u w:val="single"/>
        </w:rPr>
        <w:t>Determinations</w:t>
      </w:r>
      <w:r>
        <w:rPr>
          <w:sz w:val="22"/>
        </w:rPr>
        <w:t xml:space="preserve">”) of the Appraised Value.  In that case, the Appraised Value shall be deemed to be the average of the three Determinations; provided that if any of the three Determinations is more than 120% of the median of the three Determinations or less than 80% of the median of the three Determinations, such Determination shall be disregarded, and the Appraised Value shall be deemed to be the average of the remaining  Determination(s), and such Appraised Value shall be binding and conclusive upon the Partners for purposes hereof.  The Appraiser or Appraisers shall base their Determinations upon the value of the Partnership as a going concern and not based upon liquidation or book value of the Partnership, taking into account all relevant facts and circumstances, including, without limitation, (A) historical and projected cash flows of the Partnership, (B) historical and projected net earnings of the Partnership and (C) price-earnings ratios of companies comparable to the Partnership, the equity securities of which are publicly traded and assuming that the Partnership (or an entity guaranteeing all trading obligations of the Partnership in the Business) would have a senior unsecured debt rating of not less than “A” by Standard &amp; Poor’s Corporation and "A" by Moody’s Investor Services, Inc.  In making Determinations, the Appraisers shall not discount the Appraised Value for minority ownership or illiquidity. </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Appraiser</w:t>
      </w:r>
      <w:r>
        <w:rPr>
          <w:sz w:val="22"/>
        </w:rPr>
        <w:t>” means a nationally recognized investment banking firm.</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Asset Appraised Value</w:t>
      </w:r>
      <w:r>
        <w:rPr>
          <w:sz w:val="22"/>
        </w:rPr>
        <w:t>” of an asset means a determination of the fair market value of such asset determined in accordance with this paragraph.  If the General Partner and the Limited Partners cannot agree on an Asset Appraised Value, the Asset Appraised Value will be determined by three Appraisers, one of which shall be selected by the General Partner, one of which shall be selected by a majority in interest of the Limited Partners, and the third of which (the "</w:t>
      </w:r>
      <w:r>
        <w:rPr>
          <w:sz w:val="22"/>
          <w:u w:val="single"/>
        </w:rPr>
        <w:t>Third Appraiser</w:t>
      </w:r>
      <w:r>
        <w:rPr>
          <w:sz w:val="22"/>
        </w:rPr>
        <w:t>") shall be selected by the two Appraisers selected by the Partners. If, within 30 days after the selection of the Third Appraiser, the three Appraisers are unable to agree as to the Asset Appraised Value, then on the 31st day following selection of the Third Appraiser (or such other date as the Appraisers may mutually agree but not later than _________) the Appraisers shall simultaneously deliver to one another their written determinations (the “</w:t>
      </w:r>
      <w:r>
        <w:rPr>
          <w:sz w:val="22"/>
          <w:u w:val="single"/>
        </w:rPr>
        <w:t>Determinations</w:t>
      </w:r>
      <w:r>
        <w:rPr>
          <w:sz w:val="22"/>
        </w:rPr>
        <w:t>”) of the Asset Appraised Value.  In that case, the Asset Appraised Value shall be deemed to be the average of the three Determinations; provided that if any of the three Determinations is more than 120% of the median of the three Determinations or less than 80% of the median of the three Determinations, such Determination shall be disregarded, and the Asset Appraised Value shall be deemed to be the average of the two remaining  Determinations, and such Asset Appraised Value shall be binding and conclusive upon the Partners for purposes hereof.</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Bonus Pool</w:t>
      </w:r>
      <w:r>
        <w:rPr>
          <w:sz w:val="22"/>
        </w:rPr>
        <w:t>" means, in any Fiscal Year, an amount equal to 20% of the Pre-Bonus Income.</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Bonus Pool Accrual</w:t>
      </w:r>
      <w:r>
        <w:rPr>
          <w:sz w:val="22"/>
        </w:rPr>
        <w:t>" means, for any period, an amount equal to 20% of the Pre-Bonus Income.</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Capital Account</w:t>
      </w:r>
      <w:r>
        <w:rPr>
          <w:sz w:val="22"/>
        </w:rPr>
        <w:t>” means, with respect to any Partner, the Capital Account maintained for such Partner in accordance with the following provisions:</w:t>
      </w:r>
    </w:p>
    <w:p>
      <w:pPr>
        <w:pStyle w:val="Normal"/>
        <w:tabs>
          <w:tab w:val="clear" w:pos="720"/>
          <w:tab w:val="left" w:pos="-720" w:leader="none"/>
        </w:tabs>
        <w:suppressAutoHyphens w:val="true"/>
        <w:spacing w:before="0" w:after="240"/>
        <w:ind w:firstLine="1440" w:end="0"/>
        <w:jc w:val="both"/>
        <w:rPr>
          <w:sz w:val="22"/>
        </w:rPr>
      </w:pPr>
      <w:r>
        <w:rPr>
          <w:sz w:val="22"/>
        </w:rPr>
        <w:t>(i)</w:t>
        <w:tab/>
        <w:t>To each Partner’s Capital Account there shall be credited such Partner’s capital contribution described in Section 2.1, such Partner’s distributive share of Net Income or any item in the nature of income or gain which is specially allocated pursuant to Section 5.2(e), and the amount of any Partnership liabilities assumed by such Partner or which are secured by any property distributed to such Partner,</w:t>
      </w:r>
    </w:p>
    <w:p>
      <w:pPr>
        <w:pStyle w:val="Normal"/>
        <w:tabs>
          <w:tab w:val="clear" w:pos="720"/>
          <w:tab w:val="left" w:pos="-720" w:leader="none"/>
        </w:tabs>
        <w:suppressAutoHyphens w:val="true"/>
        <w:spacing w:before="0" w:after="240"/>
        <w:ind w:firstLine="1440" w:end="0"/>
        <w:jc w:val="both"/>
        <w:rPr>
          <w:sz w:val="22"/>
        </w:rPr>
      </w:pPr>
      <w:r>
        <w:rPr>
          <w:sz w:val="22"/>
        </w:rPr>
        <w:t>(ii)</w:t>
        <w:tab/>
        <w:t>To each Partner’s Capital Account there shall be debited the amount of cash and the Gross Asset Value of any property distributed to such Partner pursuant to any provision of this Agreement, such Partner’s distributive share of Net Loss and any item in the nature of expense or loss which is specially allocated pursuant to Section 5.2(e), and the amount of any liabilities of such Partner assumed by the Partnership or which are secured by any property contributed by such Partner to the Partnership,</w:t>
      </w:r>
    </w:p>
    <w:p>
      <w:pPr>
        <w:pStyle w:val="StandardL3"/>
        <w:numPr>
          <w:ilvl w:val="2"/>
          <w:numId w:val="14"/>
        </w:numPr>
        <w:tabs>
          <w:tab w:val="clear" w:pos="360"/>
          <w:tab w:val="left" w:pos="2160" w:leader="none"/>
        </w:tabs>
        <w:ind w:hanging="0" w:start="0"/>
        <w:rPr>
          <w:sz w:val="22"/>
        </w:rPr>
      </w:pPr>
      <w:r>
        <w:rPr>
          <w:sz w:val="22"/>
        </w:rPr>
        <w:t>In the event all or a portion of an interest in the Partnership is Transferred in accordance with the terms of this Agreement, the Transferee shall succeed to the Capital Account of the Transferor to the extent that it relates to the Transferred Interest, and</w:t>
      </w:r>
    </w:p>
    <w:p>
      <w:pPr>
        <w:pStyle w:val="StandardL3"/>
        <w:numPr>
          <w:ilvl w:val="2"/>
          <w:numId w:val="14"/>
        </w:numPr>
        <w:tabs>
          <w:tab w:val="clear" w:pos="360"/>
          <w:tab w:val="left" w:pos="2160" w:leader="none"/>
        </w:tabs>
        <w:ind w:hanging="0" w:start="0"/>
        <w:rPr>
          <w:sz w:val="22"/>
        </w:rPr>
      </w:pPr>
      <w:r>
        <w:rPr>
          <w:sz w:val="22"/>
        </w:rPr>
        <w:t>In determining the amount of any liability for purposes of subparagraphs (i) and (ii) there shall be taken into account Code Section 752(c) and any other applicable provisions of the Code and Regulations.</w:t>
      </w:r>
    </w:p>
    <w:p>
      <w:pPr>
        <w:pStyle w:val="BodyText"/>
        <w:ind w:hanging="0" w:end="0"/>
        <w:rPr>
          <w:sz w:val="22"/>
        </w:rPr>
      </w:pPr>
      <w:r>
        <w:rPr>
          <w:sz w:val="22"/>
        </w:rPr>
        <w:t>The foregoing provision and other provisions of this Agreement relating to the maintenance of Capital Accounts are intended to comply with Regulations Section 1.704</w:t>
        <w:noBreakHyphen/>
        <w:t>1(b) and shall be interpreted and applied in a manner consistent with such Regulations.</w:t>
      </w:r>
    </w:p>
    <w:p>
      <w:pPr>
        <w:pStyle w:val="Normal"/>
        <w:tabs>
          <w:tab w:val="clear" w:pos="720"/>
          <w:tab w:val="left" w:pos="-720" w:leader="none"/>
        </w:tabs>
        <w:suppressAutoHyphens w:val="true"/>
        <w:spacing w:before="0" w:after="240"/>
        <w:ind w:firstLine="1440" w:end="0"/>
        <w:jc w:val="both"/>
        <w:rPr>
          <w:b/>
          <w:sz w:val="22"/>
        </w:rPr>
      </w:pPr>
      <w:r>
        <w:rPr>
          <w:sz w:val="22"/>
        </w:rPr>
        <w:t>“</w:t>
      </w:r>
      <w:r>
        <w:rPr>
          <w:sz w:val="22"/>
          <w:u w:val="single"/>
        </w:rPr>
        <w:t>Code</w:t>
      </w:r>
      <w:r>
        <w:rPr>
          <w:sz w:val="22"/>
        </w:rPr>
        <w:t>” means the Internal Revenue Code of 1986, as amended.</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Control</w:t>
      </w:r>
      <w:r>
        <w:rPr>
          <w:sz w:val="22"/>
        </w:rPr>
        <w:t>”, “</w:t>
      </w:r>
      <w:r>
        <w:rPr>
          <w:sz w:val="22"/>
          <w:u w:val="single"/>
        </w:rPr>
        <w:t>Controlled</w:t>
      </w:r>
      <w:r>
        <w:rPr>
          <w:sz w:val="22"/>
        </w:rPr>
        <w:t>”, and “</w:t>
      </w:r>
      <w:r>
        <w:rPr>
          <w:sz w:val="22"/>
          <w:u w:val="single"/>
        </w:rPr>
        <w:t>Controlling</w:t>
      </w:r>
      <w:r>
        <w:rPr>
          <w:sz w:val="22"/>
        </w:rPr>
        <w:t>” mean the possession, direct or indirect, of the power to direct or cause the direction of the management and policies of a Person, whether through the ownership of voting securities, by contract or otherwise.</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Depreciation</w:t>
      </w:r>
      <w:r>
        <w:rPr>
          <w:sz w:val="22"/>
        </w:rPr>
        <w:t>” means, for each Fiscal Year, an amount equal to the depreciation, amortization, or other cost recovery deduction allowable for federal income tax purposes with respect to an asset for such Fiscal Year, except that if the Gross Asset Value of an asset differs from its adjusted tax basis for federal income tax purposes at the beginning of such Fiscal Year, Depreciation shall be an amount which bears the same ratio to such beginning Gross Asset Value as the federal income tax depreciation, amortization, or other cost recovery deduction for such Fiscal Year bears to such beginning adjusted tax basis; provided, however, that if the adjusted tax basis for federal income tax purposes of an asset at the beginning of such Fiscal Year is zero, Depreciation shall be determined with reference to such beginning Gross Asset Value using any reasonable method selected by the General Partner.]</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Energy Commodities</w:t>
      </w:r>
      <w:r>
        <w:rPr>
          <w:sz w:val="22"/>
        </w:rPr>
        <w:t>” means natural gas and electricity.</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Fair Market Value</w:t>
      </w:r>
      <w:r>
        <w:rPr>
          <w:sz w:val="22"/>
        </w:rPr>
        <w:t>” of an asset means, (i) in the case of securities listed on a securities exchange, the average of the last sales price of such securities on the principal securities exchange on which such securities are listed over the thirty (30) day period immediately preceding the date of determination of Fair Market Value; (ii) in the case of securities not listed on a securities exchange, or for which there were no sales of the securities on the dates referred to in clause (i) above, the average of the closing “bid” prices of such securities on the principal securities market on which they are traded over the thirty (30) day period immediately preceding the date of determination of Fair Market Value; and (iii) in all other cases, the Asset Appraised Value of such asset.</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Fiscal Year</w:t>
      </w:r>
      <w:r>
        <w:rPr>
          <w:sz w:val="22"/>
        </w:rPr>
        <w:t>" means a calendar year, except that if the Partnership is required under the Code to use a taxable year other than a calendar year, then Fiscal Year shall mean such taxable year.</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GAAP</w:t>
      </w:r>
      <w:r>
        <w:rPr>
          <w:sz w:val="22"/>
        </w:rPr>
        <w:t xml:space="preserve">" means United States generally accepted accounting principles, applied on a basis consistent with past practices, except to the extent required by any change mandated by the United States Financial Accounting Standards Board. </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General Partner Call Percentage</w:t>
      </w:r>
      <w:r>
        <w:rPr>
          <w:sz w:val="22"/>
        </w:rPr>
        <w:t>” means, with respect to any Limited Partner, such Limited Partner’s Percentage Interest outstanding on the date hereof, multiplied by 33-1/3%.</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Gross Asset Value</w:t>
      </w:r>
      <w:r>
        <w:rPr>
          <w:sz w:val="22"/>
        </w:rPr>
        <w:t>” means, with respect to any asset, the asset’s adjusted basis for federal income tax purposes, except as follows:</w:t>
      </w:r>
    </w:p>
    <w:p>
      <w:pPr>
        <w:pStyle w:val="Normal"/>
        <w:tabs>
          <w:tab w:val="clear" w:pos="720"/>
          <w:tab w:val="left" w:pos="-720" w:leader="none"/>
        </w:tabs>
        <w:suppressAutoHyphens w:val="true"/>
        <w:spacing w:before="0" w:after="240"/>
        <w:ind w:firstLine="1440" w:end="0"/>
        <w:jc w:val="both"/>
        <w:rPr>
          <w:sz w:val="22"/>
        </w:rPr>
      </w:pPr>
      <w:r>
        <w:rPr>
          <w:sz w:val="22"/>
        </w:rPr>
        <w:t>(i) The Gross Asset Value of any asset contributed by a Partner to the Partnership is the gross Fair Market Value of such asset as determined by the General Partner at the time of contribution;</w:t>
      </w:r>
    </w:p>
    <w:p>
      <w:pPr>
        <w:pStyle w:val="Normal"/>
        <w:tabs>
          <w:tab w:val="clear" w:pos="720"/>
          <w:tab w:val="left" w:pos="-720" w:leader="none"/>
        </w:tabs>
        <w:suppressAutoHyphens w:val="true"/>
        <w:spacing w:before="0" w:after="240"/>
        <w:ind w:firstLine="1440" w:end="0"/>
        <w:jc w:val="both"/>
        <w:rPr/>
      </w:pPr>
      <w:r>
        <w:rPr>
          <w:sz w:val="22"/>
        </w:rPr>
        <w:t>(ii) The Gross Asset Value of all Partnership assets may be adjusted to equal their respective gross fair market values, as determined by the General Partner, as of the following times: (a) the acquisition of any additional interest in the Partnership by any new or existing Partner in exchange for more than a de minimis capital contribution; (b) the distribution by the Partnership to the Partner of more than a de minimis amount of property as consideration for an interest in the Partnership; and (c) the liquidation of the Partnership within the meaning of Regulation Section 1.704</w:t>
        <w:noBreakHyphen/>
        <w:t>1(b)(2)(ii)</w:t>
      </w:r>
      <w:r>
        <w:rPr>
          <w:i/>
          <w:sz w:val="22"/>
        </w:rPr>
        <w:t>(g)</w:t>
      </w:r>
      <w:r>
        <w:rPr>
          <w:sz w:val="22"/>
        </w:rPr>
        <w:t>; and</w:t>
      </w:r>
    </w:p>
    <w:p>
      <w:pPr>
        <w:pStyle w:val="Normal"/>
        <w:tabs>
          <w:tab w:val="clear" w:pos="720"/>
          <w:tab w:val="left" w:pos="-720" w:leader="none"/>
        </w:tabs>
        <w:suppressAutoHyphens w:val="true"/>
        <w:spacing w:before="0" w:after="240"/>
        <w:ind w:firstLine="1440" w:end="0"/>
        <w:jc w:val="both"/>
        <w:rPr>
          <w:sz w:val="22"/>
        </w:rPr>
      </w:pPr>
      <w:r>
        <w:rPr>
          <w:sz w:val="22"/>
        </w:rPr>
        <w:t>(iii) The Gross Asset Value of any Partnership asset distributed to any Partner shall be adjusted to equal the gross Fair Market Value of such asset on the date of distribution as determined by the General Partner.</w:t>
      </w:r>
    </w:p>
    <w:p>
      <w:pPr>
        <w:pStyle w:val="Normal"/>
        <w:tabs>
          <w:tab w:val="clear" w:pos="720"/>
          <w:tab w:val="left" w:pos="-720" w:leader="none"/>
        </w:tabs>
        <w:suppressAutoHyphens w:val="true"/>
        <w:spacing w:before="0" w:after="240"/>
        <w:ind w:firstLine="1440" w:end="0"/>
        <w:jc w:val="both"/>
        <w:rPr>
          <w:sz w:val="22"/>
        </w:rPr>
      </w:pPr>
      <w:r>
        <w:rPr>
          <w:sz w:val="22"/>
        </w:rPr>
        <w:t>If the Gross Asset Value of a Partnership asset has been determined or adjusted pursuant to subdivision (i) or (ii) above, such Gross Asset Value shall thereafter be adjusted by Depreciation taken into account with respect to such asset for purposes of computing Net Income or Net Loss.</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Income</w:t>
      </w:r>
      <w:r>
        <w:rPr>
          <w:sz w:val="22"/>
        </w:rPr>
        <w:t>” means, for any period, the Pre-Bonus Income minus the Bonus Pool Accrual for such period.</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Index Amount</w:t>
      </w:r>
      <w:r>
        <w:rPr>
          <w:sz w:val="22"/>
        </w:rPr>
        <w:t>” means the London interbank offered rate as announced by [___________] at 11:00 a.m. London time plus __%.</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Limited Partner Put Percentage</w:t>
      </w:r>
      <w:r>
        <w:rPr>
          <w:sz w:val="22"/>
        </w:rPr>
        <w:t>” means, with respect to any Limited Partner, such Limited Partner’s Percentage Interest outstanding on the date hereof, multiplied by 33-1/3%.</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Net Income</w:t>
      </w:r>
      <w:r>
        <w:rPr>
          <w:sz w:val="22"/>
        </w:rPr>
        <w:t>” and “</w:t>
      </w:r>
      <w:r>
        <w:rPr>
          <w:sz w:val="22"/>
          <w:u w:val="single"/>
        </w:rPr>
        <w:t>Net Loss</w:t>
      </w:r>
      <w:r>
        <w:rPr>
          <w:sz w:val="22"/>
        </w:rPr>
        <w:t>” means, for each Fiscal Year or other period, an amount equal to the Partnership’s taxable income or loss for such Fiscal Year or period, determined in accordance with Code Section 703(a) (for this purpose, all items of income, gain, loss or deduction required to be stated separately pursuant to Code Section 703(a)(1) shall be included in taxable income or loss) with the following adjustments:</w:t>
      </w:r>
    </w:p>
    <w:p>
      <w:pPr>
        <w:pStyle w:val="Normal"/>
        <w:tabs>
          <w:tab w:val="clear" w:pos="720"/>
          <w:tab w:val="left" w:pos="-720" w:leader="none"/>
        </w:tabs>
        <w:suppressAutoHyphens w:val="true"/>
        <w:spacing w:before="0" w:after="240"/>
        <w:ind w:firstLine="1440" w:end="0"/>
        <w:jc w:val="both"/>
        <w:rPr>
          <w:sz w:val="22"/>
        </w:rPr>
      </w:pPr>
      <w:r>
        <w:rPr>
          <w:sz w:val="22"/>
        </w:rPr>
        <w:t>(i) Any income of the Partnership that is exempt from federal income tax, and to the extent not otherwise taken into account in computing Net Income or Net Loss pursuant to this paragraph, shall be added to such taxable income or loss;</w:t>
      </w:r>
    </w:p>
    <w:p>
      <w:pPr>
        <w:pStyle w:val="Normal"/>
        <w:tabs>
          <w:tab w:val="clear" w:pos="720"/>
          <w:tab w:val="left" w:pos="-720" w:leader="none"/>
        </w:tabs>
        <w:suppressAutoHyphens w:val="true"/>
        <w:spacing w:before="0" w:after="240"/>
        <w:ind w:firstLine="1440" w:end="0"/>
        <w:jc w:val="both"/>
        <w:rPr/>
      </w:pPr>
      <w:r>
        <w:rPr>
          <w:sz w:val="22"/>
        </w:rPr>
        <w:t>(ii) Any expenditures of the Partnership described in Code Section 705(a)(2)(B) or treated as Code Section 705(a)(2)(B) expenditures pursuant to Regulation Section 1.704</w:t>
        <w:noBreakHyphen/>
        <w:t>1(b)(2)(iv)</w:t>
      </w:r>
      <w:r>
        <w:rPr>
          <w:i/>
          <w:sz w:val="22"/>
        </w:rPr>
        <w:t>(i)</w:t>
      </w:r>
      <w:r>
        <w:rPr>
          <w:sz w:val="22"/>
        </w:rPr>
        <w:t>, and to the extent not otherwise taken into account in computing Net Income or Net Loss pursuant to this paragraph, shall be subtracted from such taxable income or loss;</w:t>
      </w:r>
    </w:p>
    <w:p>
      <w:pPr>
        <w:pStyle w:val="Normal"/>
        <w:tabs>
          <w:tab w:val="clear" w:pos="720"/>
          <w:tab w:val="left" w:pos="-720" w:leader="none"/>
        </w:tabs>
        <w:suppressAutoHyphens w:val="true"/>
        <w:spacing w:before="0" w:after="240"/>
        <w:ind w:firstLine="1440" w:end="0"/>
        <w:jc w:val="both"/>
        <w:rPr>
          <w:sz w:val="22"/>
        </w:rPr>
      </w:pPr>
      <w:r>
        <w:rPr>
          <w:sz w:val="22"/>
        </w:rPr>
        <w:t>(iii) In the event the Gross Asset Value of any Partnership asset is adjusted pursuant to subdivisions (ii) or (iii) of the definition of “Gross Asset Value” herein, the amount of such adjustment shall be taken into account as gain or loss from the disposition of such asset for purposes of computing Net Income or Net Loss;</w:t>
      </w:r>
    </w:p>
    <w:p>
      <w:pPr>
        <w:pStyle w:val="Normal"/>
        <w:tabs>
          <w:tab w:val="clear" w:pos="720"/>
          <w:tab w:val="left" w:pos="-720" w:leader="none"/>
        </w:tabs>
        <w:suppressAutoHyphens w:val="true"/>
        <w:spacing w:before="0" w:after="240"/>
        <w:ind w:firstLine="1440" w:end="0"/>
        <w:jc w:val="both"/>
        <w:rPr>
          <w:sz w:val="22"/>
        </w:rPr>
      </w:pPr>
      <w:r>
        <w:rPr>
          <w:sz w:val="22"/>
        </w:rPr>
        <w:t>(iv) Gain or loss resulting from any disposition of Partnership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tabs>
          <w:tab w:val="clear" w:pos="720"/>
          <w:tab w:val="left" w:pos="-720" w:leader="none"/>
        </w:tabs>
        <w:suppressAutoHyphens w:val="true"/>
        <w:spacing w:before="0" w:after="240"/>
        <w:ind w:firstLine="1440" w:end="0"/>
        <w:jc w:val="both"/>
        <w:rPr>
          <w:sz w:val="22"/>
        </w:rPr>
      </w:pPr>
      <w:r>
        <w:rPr>
          <w:sz w:val="22"/>
        </w:rPr>
        <w:t>(v) In lieu of depreciation, amortization, and other cost recovery deductions taken into account in computing such taxable income or loss, there shall be taken into account Depreciation for such Fiscal Year, computed in accordance with the definition of “Depreciation”; and</w:t>
      </w:r>
    </w:p>
    <w:p>
      <w:pPr>
        <w:pStyle w:val="Normal"/>
        <w:tabs>
          <w:tab w:val="clear" w:pos="720"/>
          <w:tab w:val="left" w:pos="-720" w:leader="none"/>
        </w:tabs>
        <w:suppressAutoHyphens w:val="true"/>
        <w:spacing w:before="0" w:after="240"/>
        <w:ind w:firstLine="1440" w:end="0"/>
        <w:jc w:val="both"/>
        <w:rPr>
          <w:sz w:val="22"/>
        </w:rPr>
      </w:pPr>
      <w:r>
        <w:rPr>
          <w:sz w:val="22"/>
        </w:rPr>
        <w:t>(vi) Any items which are specially allocated pursuant to the provisions of Section 5.2(e) shall not be taken into account in computing Net Income or Net Loss.</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Nonrecourse Deductions</w:t>
      </w:r>
      <w:r>
        <w:rPr>
          <w:sz w:val="22"/>
        </w:rPr>
        <w:t>”</w:t>
      </w:r>
      <w:r>
        <w:rPr>
          <w:b/>
          <w:sz w:val="22"/>
        </w:rPr>
        <w:t xml:space="preserve"> </w:t>
      </w:r>
      <w:r>
        <w:rPr>
          <w:sz w:val="22"/>
        </w:rPr>
        <w:t>has the meaning set forth in Regulations Section 1.704</w:t>
        <w:noBreakHyphen/>
        <w:t>2(b)(1) and 1.704</w:t>
        <w:noBreakHyphen/>
        <w:t>2(c).</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Nonrecourse Liability</w:t>
      </w:r>
      <w:r>
        <w:rPr>
          <w:sz w:val="22"/>
        </w:rPr>
        <w:t>”</w:t>
      </w:r>
      <w:r>
        <w:rPr>
          <w:b/>
          <w:sz w:val="22"/>
        </w:rPr>
        <w:t xml:space="preserve"> </w:t>
      </w:r>
      <w:r>
        <w:rPr>
          <w:sz w:val="22"/>
        </w:rPr>
        <w:t>has the meaning set forth in Regulations Section 1.752-1(a)(2).</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Partnership Minimum Gain</w:t>
      </w:r>
      <w:r>
        <w:rPr>
          <w:sz w:val="22"/>
        </w:rPr>
        <w:t>”</w:t>
      </w:r>
      <w:r>
        <w:rPr>
          <w:b/>
          <w:sz w:val="22"/>
        </w:rPr>
        <w:t xml:space="preserve"> </w:t>
      </w:r>
      <w:r>
        <w:rPr>
          <w:sz w:val="22"/>
        </w:rPr>
        <w:t>has the meaning set forth in Regulations Sections 1.704</w:t>
        <w:noBreakHyphen/>
        <w:t>2(b)(2) and 1.704</w:t>
        <w:noBreakHyphen/>
        <w:t>2(d).</w:t>
        <w:tab/>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Partner Nonrecourse Debt</w:t>
      </w:r>
      <w:r>
        <w:rPr>
          <w:sz w:val="22"/>
        </w:rPr>
        <w:t>”</w:t>
      </w:r>
      <w:r>
        <w:rPr>
          <w:b/>
          <w:sz w:val="22"/>
        </w:rPr>
        <w:t xml:space="preserve"> </w:t>
      </w:r>
      <w:r>
        <w:rPr>
          <w:sz w:val="22"/>
        </w:rPr>
        <w:t>has the same meaning as the term “partner nonrecourse debt” set forth in Regulations Section 1.704</w:t>
        <w:noBreakHyphen/>
        <w:t>2(b)(4).</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Partner Nonrecourse Debt Minimum Gain</w:t>
      </w:r>
      <w:r>
        <w:rPr>
          <w:sz w:val="22"/>
        </w:rPr>
        <w:t>”</w:t>
      </w:r>
      <w:r>
        <w:rPr>
          <w:b/>
          <w:sz w:val="22"/>
        </w:rPr>
        <w:t xml:space="preserve"> </w:t>
      </w:r>
      <w:r>
        <w:rPr>
          <w:sz w:val="22"/>
        </w:rPr>
        <w:t>means an amount, with respect to each Partner Nonrecourse Debt, equal to the Partnership Minimum Gain that would result if the Partner Nonrecourse Debt were treated as a Nonrecourse Liability, determined in accordance with Regulations Section 1.704</w:t>
        <w:noBreakHyphen/>
        <w:t>2(i)(3).</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Partner Nonrecourse Deductions</w:t>
      </w:r>
      <w:r>
        <w:rPr>
          <w:sz w:val="22"/>
        </w:rPr>
        <w:t>”</w:t>
      </w:r>
      <w:r>
        <w:rPr>
          <w:b/>
          <w:sz w:val="22"/>
        </w:rPr>
        <w:t xml:space="preserve"> </w:t>
      </w:r>
      <w:r>
        <w:rPr>
          <w:sz w:val="22"/>
        </w:rPr>
        <w:t>has the same meaning as the term “partner nonrecourse deductions” set forth in Regulations Sections 1.704</w:t>
        <w:noBreakHyphen/>
        <w:t>2(i)(1) and 1.704</w:t>
        <w:noBreakHyphen/>
        <w:t>2(i)(2).</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Percentage Interest</w:t>
      </w:r>
      <w:r>
        <w:rPr>
          <w:sz w:val="22"/>
        </w:rPr>
        <w:t xml:space="preserve">” of a Partner means the amount set forth with respect to such Partner on </w:t>
      </w:r>
      <w:r>
        <w:rPr>
          <w:b/>
          <w:sz w:val="22"/>
          <w:u w:val="single"/>
        </w:rPr>
        <w:t>Schedule I</w:t>
      </w:r>
      <w:r>
        <w:rPr>
          <w:sz w:val="22"/>
        </w:rPr>
        <w:t>.</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Person</w:t>
      </w:r>
      <w:r>
        <w:rPr>
          <w:sz w:val="22"/>
        </w:rPr>
        <w:t>” means any individual, general partnership, limited partnership, limited liability company, corporation, joint venture, trust, business trust, cooperative or association.</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Pre-Bonus Income</w:t>
      </w:r>
      <w:r>
        <w:rPr>
          <w:sz w:val="22"/>
        </w:rPr>
        <w:t>” means the pre-tax income of the Partnership, determined in accordance with GAAP, less $______ allocated for Corporate Overhead services and support provided by the General Partner and its subsidiaries.</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Put/Call Purchase Price</w:t>
      </w:r>
      <w:r>
        <w:rPr>
          <w:sz w:val="22"/>
        </w:rPr>
        <w:t>” of an interest in the Partnership means the greater of (a) the Percentage Interest represented by such interest in the Partnership multiplied by the Appraised Value as determined in accordance with an Appraisal and (b) the amount in the Capital Account of the Limited Partner with respect to such interest in the Partnership.</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Quarterly Income</w:t>
      </w:r>
      <w:r>
        <w:rPr>
          <w:sz w:val="22"/>
        </w:rPr>
        <w:t>" means the Income for any fiscal quarter.</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Regulations</w:t>
      </w:r>
      <w:r>
        <w:rPr>
          <w:sz w:val="22"/>
        </w:rPr>
        <w:t>”</w:t>
      </w:r>
      <w:r>
        <w:rPr>
          <w:b/>
          <w:sz w:val="22"/>
        </w:rPr>
        <w:t xml:space="preserve"> </w:t>
      </w:r>
      <w:r>
        <w:rPr>
          <w:sz w:val="22"/>
        </w:rPr>
        <w:t>means the Income Tax Regulations promulgated under the Code, as amended from time to time.</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Shutdown</w:t>
      </w:r>
      <w:r>
        <w:rPr>
          <w:sz w:val="22"/>
        </w:rPr>
        <w:t>" means any of the following: (i) the Partnership expressly prohibits traders from entering into contracts requiring the physical delivery of gas or electric power, or (ii) the Partnership ceases to enter into trading contracts for electric power, or (iii) the Partnership ceases to enter into trading contracts for natural gas, or (iv) the Partnership suffers net attrition of [key employees] of more than 50% within 6 months of the Closing Date, or (v) average VaR is less than $20 million for any two consecutive Quarters.</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Transfer</w:t>
      </w:r>
      <w:r>
        <w:rPr>
          <w:sz w:val="22"/>
        </w:rPr>
        <w:t>” means any transfer, sale, assignment, exchange, pledge, hypothecation, gift or other similar disposition of any kind, voluntary or involuntary, of all or any portion of an interest in the Partnership; “</w:t>
      </w:r>
      <w:r>
        <w:rPr>
          <w:sz w:val="22"/>
          <w:u w:val="single"/>
        </w:rPr>
        <w:t>Transferred</w:t>
      </w:r>
      <w:r>
        <w:rPr>
          <w:sz w:val="22"/>
        </w:rPr>
        <w:t>”, “</w:t>
      </w:r>
      <w:r>
        <w:rPr>
          <w:sz w:val="22"/>
          <w:u w:val="single"/>
        </w:rPr>
        <w:t>Transfers</w:t>
      </w:r>
      <w:r>
        <w:rPr>
          <w:sz w:val="22"/>
        </w:rPr>
        <w:t>”, “</w:t>
      </w:r>
      <w:r>
        <w:rPr>
          <w:sz w:val="22"/>
          <w:u w:val="single"/>
        </w:rPr>
        <w:t>Transferring</w:t>
      </w:r>
      <w:r>
        <w:rPr>
          <w:sz w:val="22"/>
        </w:rPr>
        <w:t>”, “</w:t>
      </w:r>
      <w:r>
        <w:rPr>
          <w:sz w:val="22"/>
          <w:u w:val="single"/>
        </w:rPr>
        <w:t>Transferee</w:t>
      </w:r>
      <w:r>
        <w:rPr>
          <w:sz w:val="22"/>
        </w:rPr>
        <w:t>” and “</w:t>
      </w:r>
      <w:r>
        <w:rPr>
          <w:sz w:val="22"/>
          <w:u w:val="single"/>
        </w:rPr>
        <w:t>Transferor</w:t>
      </w:r>
      <w:r>
        <w:rPr>
          <w:sz w:val="22"/>
        </w:rPr>
        <w:t>” shall have correlative meanings.</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VaR</w:t>
      </w:r>
      <w:r>
        <w:rPr>
          <w:sz w:val="22"/>
        </w:rPr>
        <w:t xml:space="preserve">" means value at risk, calculated using the methodology of a 95% confidence interval assuming a one-day close-out horizon.  For purposes of calculating VaR hereunder, positions are characterized as </w:t>
      </w:r>
      <w:r>
        <w:rPr>
          <w:i/>
          <w:sz w:val="22"/>
        </w:rPr>
        <w:t>delta</w:t>
      </w:r>
      <w:r>
        <w:rPr>
          <w:sz w:val="22"/>
        </w:rPr>
        <w:t xml:space="preserve"> (the change in value due to a unit change in the price of the underlying commodity) and </w:t>
      </w:r>
      <w:r>
        <w:rPr>
          <w:i/>
          <w:sz w:val="22"/>
        </w:rPr>
        <w:t>gamma</w:t>
      </w:r>
      <w:r>
        <w:rPr>
          <w:sz w:val="22"/>
        </w:rPr>
        <w:t xml:space="preserve"> (the change in </w:t>
      </w:r>
      <w:r>
        <w:rPr>
          <w:i/>
          <w:sz w:val="22"/>
        </w:rPr>
        <w:t>delta</w:t>
      </w:r>
      <w:r>
        <w:rPr>
          <w:sz w:val="22"/>
        </w:rPr>
        <w:t xml:space="preserve"> of an option given a change in the price of the underlying commodity), with outcomes simulated one thousand times using Monte Carlo simulation, and with returns assumed to conform to a normal distribution.</w:t>
      </w:r>
    </w:p>
    <w:p>
      <w:pPr>
        <w:pStyle w:val="Normal"/>
        <w:tabs>
          <w:tab w:val="clear" w:pos="720"/>
          <w:tab w:val="left" w:pos="-720" w:leader="none"/>
        </w:tabs>
        <w:suppressAutoHyphens w:val="true"/>
        <w:spacing w:before="0" w:after="240"/>
        <w:ind w:firstLine="1440" w:end="0"/>
        <w:jc w:val="both"/>
        <w:rPr/>
      </w:pPr>
      <w:r>
        <w:rPr>
          <w:sz w:val="22"/>
        </w:rPr>
        <w:t>“</w:t>
      </w:r>
      <w:r>
        <w:rPr>
          <w:sz w:val="22"/>
          <w:u w:val="single"/>
        </w:rPr>
        <w:t>Working Capital</w:t>
      </w:r>
      <w:r>
        <w:rPr>
          <w:sz w:val="22"/>
        </w:rPr>
        <w:t>” means the current assets less the current liabilities of the Partnership, determined in accordance with GAAP by the General Partner in good faith.</w:t>
      </w:r>
    </w:p>
    <w:p>
      <w:pPr>
        <w:pStyle w:val="Normal"/>
        <w:keepNext w:val="true"/>
        <w:keepLines/>
        <w:numPr>
          <w:ilvl w:val="0"/>
          <w:numId w:val="0"/>
        </w:numPr>
        <w:tabs>
          <w:tab w:val="clear" w:pos="720"/>
          <w:tab w:val="left" w:pos="-720" w:leader="none"/>
        </w:tabs>
        <w:suppressAutoHyphens w:val="true"/>
        <w:jc w:val="center"/>
        <w:outlineLvl w:val="0"/>
        <w:rPr>
          <w:sz w:val="22"/>
        </w:rPr>
      </w:pPr>
      <w:r>
        <w:rPr>
          <w:sz w:val="22"/>
        </w:rPr>
        <w:t>ARTICLE II</w:t>
      </w:r>
    </w:p>
    <w:p>
      <w:pPr>
        <w:pStyle w:val="Heading1"/>
        <w:spacing w:before="0" w:after="240"/>
        <w:ind w:hanging="0" w:start="0"/>
        <w:jc w:val="center"/>
        <w:rPr>
          <w:b w:val="false"/>
          <w:sz w:val="22"/>
          <w:u w:val="single"/>
        </w:rPr>
      </w:pPr>
      <w:r>
        <w:rPr>
          <w:b w:val="false"/>
          <w:sz w:val="22"/>
          <w:u w:val="single"/>
        </w:rPr>
        <w:t>Capital Contributions; Capital Accounts</w:t>
      </w:r>
    </w:p>
    <w:p>
      <w:pPr>
        <w:pStyle w:val="Normal"/>
        <w:keepLines/>
        <w:numPr>
          <w:ilvl w:val="0"/>
          <w:numId w:val="0"/>
        </w:numPr>
        <w:tabs>
          <w:tab w:val="clear" w:pos="720"/>
          <w:tab w:val="left" w:pos="-720" w:leader="none"/>
        </w:tabs>
        <w:suppressAutoHyphens w:val="true"/>
        <w:spacing w:before="0" w:after="240"/>
        <w:jc w:val="both"/>
        <w:outlineLvl w:val="0"/>
        <w:rPr/>
      </w:pPr>
      <w:r>
        <w:rPr>
          <w:sz w:val="22"/>
        </w:rPr>
        <w:tab/>
        <w:t>2.1</w:t>
        <w:tab/>
      </w:r>
      <w:r>
        <w:rPr>
          <w:sz w:val="22"/>
          <w:u w:val="single"/>
        </w:rPr>
        <w:t>Capital Contribution and Capital Accounts</w:t>
      </w:r>
      <w:r>
        <w:rPr>
          <w:sz w:val="22"/>
        </w:rPr>
        <w:t xml:space="preserve">.  The General Partner has made the contributions (in the form of cash, securities, or other property) to the Partnership set forth opposite the General Partner's name on </w:t>
      </w:r>
      <w:r>
        <w:rPr>
          <w:b/>
          <w:sz w:val="22"/>
          <w:u w:val="single"/>
        </w:rPr>
        <w:t>Schedule I</w:t>
      </w:r>
      <w:r>
        <w:rPr>
          <w:sz w:val="22"/>
        </w:rPr>
        <w:t xml:space="preserve">.  In respect of the Acquired Assets (including, without limitation, the interest in software and intellectual property rights that is being transferred to, or assumed by, the Partnership) and Assumed Liabilities (each as defined in the Contribution Agreement) transferred to, or assumed by, the Partnership pursuant to the Contribution Agreement, the Partners agree that the aggregate Fair Market Value of the Acquired Assets less the amount of the Assumed Liabilities is equal to the amounts set forth on </w:t>
      </w:r>
      <w:r>
        <w:rPr>
          <w:b/>
          <w:sz w:val="22"/>
          <w:u w:val="single"/>
        </w:rPr>
        <w:t>Schedule I</w:t>
      </w:r>
      <w:r>
        <w:rPr>
          <w:sz w:val="22"/>
        </w:rPr>
        <w:t xml:space="preserve">.  The Capital Account of each Partner shall initially equal the amount set forth opposite such Partner’s name on </w:t>
      </w:r>
      <w:r>
        <w:rPr>
          <w:b/>
          <w:sz w:val="22"/>
          <w:u w:val="single"/>
        </w:rPr>
        <w:t>Schedule I</w:t>
      </w:r>
      <w:r>
        <w:rPr>
          <w:sz w:val="22"/>
        </w:rPr>
        <w:t>.  No Partner shall be required (without such Partner's consent) to make any additional contribution (whether in cash, securities, or other property) to the Partnership.  The capital contribution commitments of the Partners (whether now or hereafter made) are solely for the benefit of the Partners, as among themselves, and may not be enforced by any creditor, receiver, or trustee of the Partnership or by any other Person.</w:t>
      </w:r>
    </w:p>
    <w:p>
      <w:pPr>
        <w:pStyle w:val="Normal"/>
        <w:tabs>
          <w:tab w:val="clear" w:pos="720"/>
          <w:tab w:val="left" w:pos="-720" w:leader="none"/>
        </w:tabs>
        <w:suppressAutoHyphens w:val="true"/>
        <w:spacing w:before="0" w:after="240"/>
        <w:jc w:val="both"/>
        <w:rPr/>
      </w:pPr>
      <w:r>
        <w:rPr>
          <w:sz w:val="22"/>
        </w:rPr>
        <w:tab/>
        <w:t>2.2</w:t>
        <w:tab/>
      </w:r>
      <w:r>
        <w:rPr>
          <w:sz w:val="22"/>
          <w:u w:val="single"/>
        </w:rPr>
        <w:t>No Return of Capital Contributions</w:t>
      </w:r>
      <w:r>
        <w:rPr>
          <w:sz w:val="22"/>
        </w:rPr>
        <w:t>.  No Partner is entitled to a withdrawal or return of its capital contributions.  Instead, each Partner shall look solely to distributions from the Partnership for such purpose.</w:t>
      </w:r>
    </w:p>
    <w:p>
      <w:pPr>
        <w:pStyle w:val="Normal"/>
        <w:tabs>
          <w:tab w:val="clear" w:pos="720"/>
          <w:tab w:val="left" w:pos="-720" w:leader="none"/>
        </w:tabs>
        <w:suppressAutoHyphens w:val="true"/>
        <w:spacing w:before="0" w:after="240"/>
        <w:jc w:val="both"/>
        <w:rPr/>
      </w:pPr>
      <w:r>
        <w:rPr>
          <w:sz w:val="22"/>
        </w:rPr>
        <w:tab/>
        <w:t>2.3</w:t>
        <w:tab/>
      </w:r>
      <w:r>
        <w:rPr>
          <w:sz w:val="22"/>
          <w:u w:val="single"/>
        </w:rPr>
        <w:t>No Interest</w:t>
      </w:r>
      <w:r>
        <w:rPr>
          <w:sz w:val="22"/>
        </w:rPr>
        <w:t>.  No Partner shall be entitled to interest on its capital contributions, and any interest actually received by reason of investment of any part of Partnership funds shall be included in the Partnership's property.</w:t>
      </w:r>
    </w:p>
    <w:p>
      <w:pPr>
        <w:pStyle w:val="Normal"/>
        <w:keepNext w:val="true"/>
        <w:keepLines/>
        <w:tabs>
          <w:tab w:val="clear" w:pos="720"/>
          <w:tab w:val="left" w:pos="-720" w:leader="none"/>
        </w:tabs>
        <w:suppressAutoHyphens w:val="true"/>
        <w:spacing w:before="0" w:after="240"/>
        <w:jc w:val="both"/>
        <w:rPr/>
      </w:pPr>
      <w:r>
        <w:rPr>
          <w:sz w:val="22"/>
        </w:rPr>
        <w:tab/>
        <w:t>[2.4</w:t>
        <w:tab/>
      </w:r>
      <w:r>
        <w:rPr>
          <w:sz w:val="22"/>
          <w:u w:val="single"/>
        </w:rPr>
        <w:t>Partner Loans</w:t>
      </w:r>
      <w:r>
        <w:rPr>
          <w:sz w:val="22"/>
        </w:rPr>
        <w:t>.  If the Partnership shall have insufficient cash to pay its obligations, the General Partner may advance funds to the Partnership on such terms and conditions as the General Partner and a majority in interest of the Limited Partners may agree from time to time.  Each such advance shall constitute a loan from the General Partner to the Partnership and shall not constitute a capital contribution.  Other than in accordance with this Section 2.4, no Partner shall make any loan or advance funds to the Partnership.]</w:t>
      </w:r>
    </w:p>
    <w:p>
      <w:pPr>
        <w:pStyle w:val="Normal"/>
        <w:keepNext w:val="true"/>
        <w:keepLines/>
        <w:tabs>
          <w:tab w:val="clear" w:pos="720"/>
          <w:tab w:val="left" w:pos="-720" w:leader="none"/>
        </w:tabs>
        <w:suppressAutoHyphens w:val="true"/>
        <w:spacing w:before="0" w:after="240"/>
        <w:jc w:val="both"/>
        <w:rPr/>
      </w:pPr>
      <w:r>
        <w:rPr>
          <w:sz w:val="22"/>
        </w:rPr>
        <w:tab/>
        <w:t>2.5</w:t>
        <w:tab/>
      </w:r>
      <w:r>
        <w:rPr>
          <w:sz w:val="22"/>
          <w:u w:val="single"/>
        </w:rPr>
        <w:t>Additional Capital Contributions</w:t>
      </w:r>
      <w:r>
        <w:rPr>
          <w:sz w:val="22"/>
        </w:rPr>
        <w:t xml:space="preserve">.  Additional capital contributions may be made to the Partnership only in compliance with Section 3.4(b)(ii); </w:t>
      </w:r>
      <w:r>
        <w:rPr>
          <w:sz w:val="22"/>
          <w:u w:val="single"/>
        </w:rPr>
        <w:t>provided</w:t>
      </w:r>
      <w:r>
        <w:rPr>
          <w:sz w:val="22"/>
        </w:rPr>
        <w:t xml:space="preserve">, </w:t>
      </w:r>
      <w:r>
        <w:rPr>
          <w:sz w:val="22"/>
          <w:u w:val="single"/>
        </w:rPr>
        <w:t>however</w:t>
      </w:r>
      <w:r>
        <w:rPr>
          <w:sz w:val="22"/>
        </w:rPr>
        <w:t>, that in no event shall any capital contribution be accepted by the Partnership in consideration for an interest in the Partnership if the amount of such capital contribution is less than the Fair Market Value of such interest in the Partnership.</w:t>
      </w:r>
    </w:p>
    <w:p>
      <w:pPr>
        <w:pStyle w:val="Normal"/>
        <w:keepNext w:val="true"/>
        <w:keepLines/>
        <w:numPr>
          <w:ilvl w:val="0"/>
          <w:numId w:val="0"/>
        </w:numPr>
        <w:tabs>
          <w:tab w:val="clear" w:pos="720"/>
          <w:tab w:val="left" w:pos="-720" w:leader="none"/>
        </w:tabs>
        <w:suppressAutoHyphens w:val="true"/>
        <w:jc w:val="center"/>
        <w:outlineLvl w:val="0"/>
        <w:rPr>
          <w:sz w:val="22"/>
        </w:rPr>
      </w:pPr>
      <w:r>
        <w:rPr>
          <w:sz w:val="22"/>
        </w:rPr>
        <w:t>ARTICLE III</w:t>
      </w:r>
    </w:p>
    <w:p>
      <w:pPr>
        <w:pStyle w:val="Heading1"/>
        <w:spacing w:before="0" w:after="240"/>
        <w:ind w:hanging="0" w:start="0"/>
        <w:jc w:val="center"/>
        <w:rPr>
          <w:b w:val="false"/>
          <w:sz w:val="22"/>
          <w:u w:val="single"/>
        </w:rPr>
      </w:pPr>
      <w:r>
        <w:rPr>
          <w:b w:val="false"/>
          <w:sz w:val="22"/>
          <w:u w:val="single"/>
        </w:rPr>
        <w:t>Rights and Obligations of Partners</w:t>
      </w:r>
    </w:p>
    <w:p>
      <w:pPr>
        <w:pStyle w:val="Normal"/>
        <w:keepLines/>
        <w:tabs>
          <w:tab w:val="clear" w:pos="720"/>
          <w:tab w:val="left" w:pos="-720" w:leader="none"/>
        </w:tabs>
        <w:suppressAutoHyphens w:val="true"/>
        <w:spacing w:before="0" w:after="240"/>
        <w:jc w:val="both"/>
        <w:rPr/>
      </w:pPr>
      <w:r>
        <w:rPr>
          <w:sz w:val="22"/>
        </w:rPr>
        <w:tab/>
        <w:t>3.1</w:t>
        <w:tab/>
      </w:r>
      <w:r>
        <w:rPr>
          <w:sz w:val="22"/>
          <w:u w:val="single"/>
        </w:rPr>
        <w:t>Management</w:t>
      </w:r>
      <w:r>
        <w:rPr>
          <w:sz w:val="22"/>
        </w:rPr>
        <w:t>.  Except as expressly provided in Section 3.5 and subject to Sections 3.4 and 3.6, the management, control, and direction of the Partnership and its operations, business, and affairs shall be vested exclusively in the General Partner, who shall have the right, power, and authority, acting solely by itself and without the necessity of approval by any Limited Partner or any other Person, to carry out any and all of the purposes of the Partnership.  The Limited Partners shall have certain limited consent and voting rights as set forth in this Agreement, but in no event shall a Limited Partner be considered a general partner of the Partnership by agreement, estoppel, as a result of the performance of its duties or otherwise.  Notwithstanding anything to the contrary contained herein, no Limited Partner shall be deemed to be participating in the management, control, or direction of the Partnership's operations, business, or affairs, transacting any business for the Partnership, or having the power to act for or on behalf of or to bind the Partnership, such powers being vested solely and exclusively in the General Partner.</w:t>
      </w:r>
    </w:p>
    <w:p>
      <w:pPr>
        <w:pStyle w:val="Normal"/>
        <w:tabs>
          <w:tab w:val="clear" w:pos="720"/>
          <w:tab w:val="left" w:pos="-720" w:leader="none"/>
        </w:tabs>
        <w:suppressAutoHyphens w:val="true"/>
        <w:spacing w:before="0" w:after="240"/>
        <w:jc w:val="both"/>
        <w:rPr/>
      </w:pPr>
      <w:r>
        <w:rPr>
          <w:sz w:val="22"/>
        </w:rPr>
        <w:tab/>
        <w:t>3.2</w:t>
        <w:tab/>
      </w:r>
      <w:r>
        <w:rPr>
          <w:sz w:val="22"/>
          <w:u w:val="single"/>
        </w:rPr>
        <w:t>Liability of Partners</w:t>
      </w:r>
      <w:r>
        <w:rPr>
          <w:sz w:val="22"/>
        </w:rPr>
        <w:t>.  Neither the General Partner nor any Limited Partner shall be personally liable for the debts, liabilities, contracts or obligations of the Partnership.</w:t>
      </w:r>
    </w:p>
    <w:p>
      <w:pPr>
        <w:pStyle w:val="Normal"/>
        <w:tabs>
          <w:tab w:val="clear" w:pos="720"/>
          <w:tab w:val="left" w:pos="-720" w:leader="none"/>
        </w:tabs>
        <w:suppressAutoHyphens w:val="true"/>
        <w:spacing w:before="0" w:after="240"/>
        <w:jc w:val="both"/>
        <w:rPr/>
      </w:pPr>
      <w:r>
        <w:rPr>
          <w:sz w:val="22"/>
        </w:rPr>
        <w:tab/>
        <w:t>3.3</w:t>
        <w:tab/>
      </w:r>
      <w:r>
        <w:rPr>
          <w:sz w:val="22"/>
          <w:u w:val="single"/>
        </w:rPr>
        <w:t>Other Activities</w:t>
      </w:r>
      <w:r>
        <w:rPr>
          <w:sz w:val="22"/>
        </w:rPr>
        <w:t>.  Except as expressly set forth in Section 3.6 of this Agreement, neither this Agreement nor any principle of law or equity shall preclude or limit, in any respect, the right of any Partner or any Affiliate thereof to engage in or derive profit or compensation from any activities or investments, nor give any other Partner any right to participate or share in such activities or investments or any profit or compensation derived therefrom.</w:t>
      </w:r>
    </w:p>
    <w:p>
      <w:pPr>
        <w:pStyle w:val="Normal"/>
        <w:tabs>
          <w:tab w:val="clear" w:pos="720"/>
          <w:tab w:val="left" w:pos="-720" w:leader="none"/>
        </w:tabs>
        <w:suppressAutoHyphens w:val="true"/>
        <w:spacing w:before="0" w:after="240"/>
        <w:jc w:val="both"/>
        <w:rPr/>
      </w:pPr>
      <w:r>
        <w:rPr>
          <w:sz w:val="22"/>
        </w:rPr>
        <w:tab/>
        <w:t>3.4</w:t>
        <w:tab/>
      </w:r>
      <w:r>
        <w:rPr>
          <w:sz w:val="22"/>
          <w:u w:val="single"/>
        </w:rPr>
        <w:t>Consents and Limited Voting Rights</w:t>
      </w:r>
      <w:r>
        <w:rPr>
          <w:sz w:val="22"/>
        </w:rPr>
        <w:t>.  </w:t>
      </w:r>
    </w:p>
    <w:p>
      <w:pPr>
        <w:pStyle w:val="Normal"/>
        <w:tabs>
          <w:tab w:val="clear" w:pos="720"/>
          <w:tab w:val="left" w:pos="-720" w:leader="none"/>
        </w:tabs>
        <w:suppressAutoHyphens w:val="true"/>
        <w:spacing w:before="0" w:after="240"/>
        <w:ind w:start="720" w:end="0"/>
        <w:jc w:val="both"/>
        <w:rPr>
          <w:sz w:val="22"/>
        </w:rPr>
      </w:pPr>
      <w:r>
        <w:rPr>
          <w:sz w:val="22"/>
        </w:rPr>
        <w:tab/>
        <w:t>(a)</w:t>
        <w:tab/>
        <w:t>Any Partner whose consent, vote, or approval is required or permitted under any provision of this Agreement may give or withhold such consent, vote, or approval in the sole discretion of such Partner, whether reasonably or unreasonably.  The Limited Partners (whether individually or in combination) shall not be entitled to consent to, vote on, or approve any matter for which the action of such Limited Partners is not expressly required by law, this Agreement, or not requested by the General Partner.  In the case of any matter for which the action of the Limited Partners is expressly required by law or this Agreement or is requested by the General Partner, such action shall (unless a different percentage is specified by law or this Agreement) be effective against and binding on all Partners and the Partnership if taken with the consent of the General Partner and the consent, vote, or approval of the Limited Partners then representing a majority in interest of all Limited Partners, excluding, for purposes of such consent, vote or approval any Limited Partner interests held by the General Partner or any Transferee thereof.</w:t>
      </w:r>
    </w:p>
    <w:p>
      <w:pPr>
        <w:pStyle w:val="Normal"/>
        <w:tabs>
          <w:tab w:val="clear" w:pos="720"/>
          <w:tab w:val="left" w:pos="-720" w:leader="none"/>
        </w:tabs>
        <w:suppressAutoHyphens w:val="true"/>
        <w:spacing w:before="0" w:after="240"/>
        <w:ind w:start="720" w:end="0"/>
        <w:jc w:val="both"/>
        <w:rPr>
          <w:sz w:val="22"/>
        </w:rPr>
      </w:pPr>
      <w:r>
        <w:rPr>
          <w:sz w:val="22"/>
        </w:rPr>
        <w:tab/>
        <w:t>(b)</w:t>
        <w:tab/>
        <w:t>Notwithstanding anything in this Agreement to the contrary, and in addition to the other limitations contained herein, the Partnership shall not take any of the following actions (and the General Partner shall not consent to, authorize or cause the Partnership to take any of the following actions), without the prior written consent, vote or approval of the Limited Partners:</w:t>
      </w:r>
    </w:p>
    <w:p>
      <w:pPr>
        <w:pStyle w:val="Normal"/>
        <w:tabs>
          <w:tab w:val="clear" w:pos="720"/>
          <w:tab w:val="left" w:pos="-720" w:leader="none"/>
        </w:tabs>
        <w:suppressAutoHyphens w:val="true"/>
        <w:spacing w:before="0" w:after="240"/>
        <w:ind w:hanging="720" w:start="1440" w:end="0"/>
        <w:jc w:val="both"/>
        <w:rPr/>
      </w:pPr>
      <w:r>
        <w:rPr>
          <w:sz w:val="22"/>
        </w:rPr>
        <w:tab/>
        <w:t xml:space="preserve">(i) admit any Person as a partner of the Partnership or accept any capital contributions from any Person (other than those Persons and those capital contributions listed on </w:t>
      </w:r>
      <w:r>
        <w:rPr>
          <w:b/>
          <w:sz w:val="22"/>
          <w:u w:val="single"/>
        </w:rPr>
        <w:t>Schedule I</w:t>
      </w:r>
      <w:r>
        <w:rPr>
          <w:sz w:val="22"/>
        </w:rPr>
        <w:t xml:space="preserve"> as of the Closing Date);</w:t>
      </w:r>
    </w:p>
    <w:p>
      <w:pPr>
        <w:pStyle w:val="Normal"/>
        <w:tabs>
          <w:tab w:val="clear" w:pos="720"/>
          <w:tab w:val="left" w:pos="-720" w:leader="none"/>
        </w:tabs>
        <w:suppressAutoHyphens w:val="true"/>
        <w:spacing w:before="0" w:after="240"/>
        <w:ind w:hanging="720" w:start="1440" w:end="0"/>
        <w:jc w:val="both"/>
        <w:rPr/>
      </w:pPr>
      <w:r>
        <w:rPr>
          <w:sz w:val="22"/>
        </w:rPr>
        <w:tab/>
        <w:t xml:space="preserve">(ii) permit an increase in an interest in the Partnership of any Partner above the interest set forth on </w:t>
      </w:r>
      <w:r>
        <w:rPr>
          <w:b/>
          <w:sz w:val="22"/>
          <w:u w:val="single"/>
        </w:rPr>
        <w:t>Schedule I</w:t>
      </w:r>
      <w:r>
        <w:rPr>
          <w:sz w:val="22"/>
        </w:rPr>
        <w:t xml:space="preserve"> with respect to such Partner; other than pursuant to this Agreement;</w:t>
      </w:r>
    </w:p>
    <w:p>
      <w:pPr>
        <w:pStyle w:val="Normal"/>
        <w:tabs>
          <w:tab w:val="clear" w:pos="720"/>
          <w:tab w:val="left" w:pos="-720" w:leader="none"/>
        </w:tabs>
        <w:suppressAutoHyphens w:val="true"/>
        <w:spacing w:before="0" w:after="240"/>
        <w:ind w:hanging="720" w:start="1440" w:end="0"/>
        <w:jc w:val="both"/>
        <w:rPr>
          <w:sz w:val="22"/>
        </w:rPr>
      </w:pPr>
      <w:r>
        <w:rPr>
          <w:sz w:val="22"/>
        </w:rPr>
        <w:tab/>
        <w:t>(iii) permit (x) prior to April 1, 2005, any sale of the Partnership substantially as an entirety (or enter into an agreement to effect such a sale), whether pursuant to a merger or a sale of all or substantially all of the assets or business of the Partnership or otherwise, other than in connection with any liquidation or dissolution of the Partnership pursuant to Article IX, or (y) any sale or other transfer of a material asset of the Partnership other than in the ordinary course of the Business;</w:t>
      </w:r>
    </w:p>
    <w:p>
      <w:pPr>
        <w:pStyle w:val="Normal"/>
        <w:tabs>
          <w:tab w:val="clear" w:pos="720"/>
          <w:tab w:val="left" w:pos="-720" w:leader="none"/>
        </w:tabs>
        <w:suppressAutoHyphens w:val="true"/>
        <w:spacing w:before="0" w:after="240"/>
        <w:ind w:hanging="720" w:start="1440" w:end="0"/>
        <w:jc w:val="both"/>
        <w:rPr>
          <w:sz w:val="22"/>
        </w:rPr>
      </w:pPr>
      <w:r>
        <w:rPr>
          <w:sz w:val="22"/>
        </w:rPr>
        <w:tab/>
        <w:t>(iv) cause the Partnership to conduct any business other than the Business;</w:t>
      </w:r>
    </w:p>
    <w:p>
      <w:pPr>
        <w:pStyle w:val="Normal"/>
        <w:tabs>
          <w:tab w:val="clear" w:pos="720"/>
          <w:tab w:val="left" w:pos="-720" w:leader="none"/>
        </w:tabs>
        <w:suppressAutoHyphens w:val="true"/>
        <w:spacing w:before="0" w:after="240"/>
        <w:ind w:hanging="720" w:start="1440" w:end="0"/>
        <w:jc w:val="both"/>
        <w:rPr>
          <w:sz w:val="22"/>
        </w:rPr>
      </w:pPr>
      <w:r>
        <w:rPr>
          <w:sz w:val="22"/>
        </w:rPr>
        <w:tab/>
        <w:t>(v) cause the Partnership, by act or omission, to cease to hold any consent, permit, license or franchise necessary or appropriate in connection with its ability to engage in the Business, including without limitation, any consent, permit, license or franchise necessary for the Partnership to enter into contracts for the forward delivery of physical output or assets or physical load obligations of Gas and Electricity Commodities, including with respect to making or accepting physical delivery thereof; or</w:t>
      </w:r>
    </w:p>
    <w:p>
      <w:pPr>
        <w:pStyle w:val="Normal"/>
        <w:tabs>
          <w:tab w:val="clear" w:pos="720"/>
          <w:tab w:val="left" w:pos="-720" w:leader="none"/>
        </w:tabs>
        <w:suppressAutoHyphens w:val="true"/>
        <w:spacing w:before="0" w:after="240"/>
        <w:ind w:hanging="720" w:start="1440" w:end="0"/>
        <w:jc w:val="both"/>
        <w:rPr>
          <w:sz w:val="22"/>
        </w:rPr>
      </w:pPr>
      <w:r>
        <w:rPr>
          <w:sz w:val="22"/>
        </w:rPr>
        <w:tab/>
        <w:t>(vi)</w:t>
        <w:tab/>
        <w:t>file any election, or take any action, that would result in the Partnership being treated as an entity other than a partnership for federal income tax purposes;</w:t>
      </w:r>
    </w:p>
    <w:p>
      <w:pPr>
        <w:pStyle w:val="Normal"/>
        <w:tabs>
          <w:tab w:val="clear" w:pos="720"/>
          <w:tab w:val="left" w:pos="-720" w:leader="none"/>
        </w:tabs>
        <w:suppressAutoHyphens w:val="true"/>
        <w:spacing w:before="0" w:after="240"/>
        <w:ind w:hanging="720" w:start="1440" w:end="0"/>
        <w:jc w:val="both"/>
        <w:rPr>
          <w:sz w:val="22"/>
        </w:rPr>
      </w:pPr>
      <w:r>
        <w:rPr>
          <w:sz w:val="22"/>
        </w:rPr>
        <w:tab/>
        <w:t>(vii)</w:t>
        <w:tab/>
        <w:t>make any election under Section 475 of the Code, and the Income Tax Regulations promulgated thereunder;</w:t>
      </w:r>
    </w:p>
    <w:p>
      <w:pPr>
        <w:pStyle w:val="Normal"/>
        <w:tabs>
          <w:tab w:val="clear" w:pos="720"/>
          <w:tab w:val="left" w:pos="-720" w:leader="none"/>
        </w:tabs>
        <w:suppressAutoHyphens w:val="true"/>
        <w:spacing w:before="0" w:after="240"/>
        <w:ind w:hanging="720" w:start="1440" w:end="0"/>
        <w:jc w:val="both"/>
        <w:rPr>
          <w:sz w:val="22"/>
        </w:rPr>
      </w:pPr>
      <w:r>
        <w:rPr>
          <w:sz w:val="22"/>
        </w:rPr>
        <w:tab/>
        <w:t>(viii)</w:t>
        <w:tab/>
        <w:t>transfer any Partnership assets located in the United States to an entity treated as a corporation for federal income tax purposes in exchange for an interest treated as stock for federal income tax purposes; or</w:t>
      </w:r>
    </w:p>
    <w:p>
      <w:pPr>
        <w:pStyle w:val="Normal"/>
        <w:tabs>
          <w:tab w:val="clear" w:pos="720"/>
          <w:tab w:val="left" w:pos="-720" w:leader="none"/>
        </w:tabs>
        <w:suppressAutoHyphens w:val="true"/>
        <w:spacing w:before="0" w:after="240"/>
        <w:ind w:hanging="720" w:start="1440" w:end="0"/>
        <w:jc w:val="both"/>
        <w:rPr>
          <w:b/>
          <w:sz w:val="22"/>
        </w:rPr>
      </w:pPr>
      <w:r>
        <w:rPr>
          <w:sz w:val="22"/>
        </w:rPr>
        <w:tab/>
        <w:t>(ix)</w:t>
        <w:tab/>
        <w:t>make any distribution in kind.</w:t>
      </w:r>
    </w:p>
    <w:p>
      <w:pPr>
        <w:pStyle w:val="Normal"/>
        <w:tabs>
          <w:tab w:val="clear" w:pos="720"/>
          <w:tab w:val="left" w:pos="-720" w:leader="none"/>
        </w:tabs>
        <w:suppressAutoHyphens w:val="true"/>
        <w:spacing w:before="0" w:after="240"/>
        <w:jc w:val="both"/>
        <w:rPr/>
      </w:pPr>
      <w:r>
        <w:rPr>
          <w:sz w:val="22"/>
        </w:rPr>
        <w:tab/>
        <w:t>3.5</w:t>
        <w:tab/>
      </w:r>
      <w:r>
        <w:rPr>
          <w:sz w:val="22"/>
          <w:u w:val="single"/>
        </w:rPr>
        <w:t>Put/Call Rights</w:t>
      </w:r>
      <w:r>
        <w:rPr>
          <w:sz w:val="22"/>
        </w:rPr>
        <w:t>.</w:t>
      </w:r>
    </w:p>
    <w:p>
      <w:pPr>
        <w:pStyle w:val="Normal"/>
        <w:tabs>
          <w:tab w:val="clear" w:pos="720"/>
          <w:tab w:val="left" w:pos="-720" w:leader="none"/>
        </w:tabs>
        <w:suppressAutoHyphens w:val="true"/>
        <w:spacing w:before="0" w:after="240"/>
        <w:ind w:start="720" w:end="0"/>
        <w:jc w:val="both"/>
        <w:rPr>
          <w:sz w:val="22"/>
        </w:rPr>
      </w:pPr>
      <w:r>
        <w:rPr>
          <w:sz w:val="22"/>
        </w:rPr>
        <w:tab/>
        <w:t>(a)</w:t>
        <w:tab/>
        <w:t>Prior to the Initial Put Date or the Initial Call Date, as applicable, no Partner shall have any rights under this Section 3.5.</w:t>
      </w:r>
    </w:p>
    <w:p>
      <w:pPr>
        <w:pStyle w:val="Normal"/>
        <w:tabs>
          <w:tab w:val="clear" w:pos="720"/>
          <w:tab w:val="left" w:pos="-720" w:leader="none"/>
        </w:tabs>
        <w:suppressAutoHyphens w:val="true"/>
        <w:spacing w:before="0" w:after="240"/>
        <w:ind w:start="720" w:end="0"/>
        <w:jc w:val="both"/>
        <w:rPr/>
      </w:pPr>
      <w:r>
        <w:rPr>
          <w:sz w:val="22"/>
        </w:rPr>
        <w:tab/>
        <w:t>(b)</w:t>
        <w:tab/>
        <w:t>At any time during the sixty (60) day period commencing on October 1, 2007 (the “</w:t>
      </w:r>
      <w:r>
        <w:rPr>
          <w:sz w:val="22"/>
          <w:u w:val="single"/>
        </w:rPr>
        <w:t>Initial Put Date</w:t>
      </w:r>
      <w:r>
        <w:rPr>
          <w:sz w:val="22"/>
        </w:rPr>
        <w:t>”) and during each sixty (60) day period commencing on each anniversary of the Initial Put Date, any and all of the Limited Partners shall have the right, exercisable by written notice from such Limited Partners to the General Partner in accordance with Section 3.5(d), to require the General Partner to purchase all (but not less than all) of the Limited Partner Put Percentage with respect to such Limited Partner, at a purchase price equal to the Put/Call Purchase Price (the “</w:t>
      </w:r>
      <w:r>
        <w:rPr>
          <w:sz w:val="22"/>
          <w:u w:val="single"/>
        </w:rPr>
        <w:t>Put Option</w:t>
      </w:r>
      <w:r>
        <w:rPr>
          <w:sz w:val="22"/>
        </w:rPr>
        <w:t>”).</w:t>
      </w:r>
    </w:p>
    <w:p>
      <w:pPr>
        <w:pStyle w:val="Normal"/>
        <w:tabs>
          <w:tab w:val="clear" w:pos="720"/>
          <w:tab w:val="left" w:pos="-720" w:leader="none"/>
        </w:tabs>
        <w:suppressAutoHyphens w:val="true"/>
        <w:spacing w:before="0" w:after="240"/>
        <w:ind w:start="720" w:end="0"/>
        <w:jc w:val="both"/>
        <w:rPr/>
      </w:pPr>
      <w:r>
        <w:rPr>
          <w:sz w:val="22"/>
        </w:rPr>
        <w:tab/>
        <w:t>(c)</w:t>
        <w:tab/>
        <w:t>At any time during the sixty (60) day period commencing on April 1, 2007 (the “</w:t>
      </w:r>
      <w:r>
        <w:rPr>
          <w:sz w:val="22"/>
          <w:u w:val="single"/>
        </w:rPr>
        <w:t>Initial Call Date</w:t>
      </w:r>
      <w:r>
        <w:rPr>
          <w:sz w:val="22"/>
        </w:rPr>
        <w:t>”) and during each sixty (60) day period commencing on each anniversary of the Initial Call Date, the General Partner shall have the right, exercisable by written notice from the General Partner to the Limited Partners in accordance with Section 3.5(d), to require the Limited Partners to sell all (but not less than all) of the General Partner Call Percentage with respect to the Limited Partners, at a purchase price equal to the Put/Call Purchase Price (the “</w:t>
      </w:r>
      <w:r>
        <w:rPr>
          <w:sz w:val="22"/>
          <w:u w:val="single"/>
        </w:rPr>
        <w:t>Call Option</w:t>
      </w:r>
      <w:r>
        <w:rPr>
          <w:sz w:val="22"/>
        </w:rPr>
        <w:t>”).</w:t>
      </w:r>
    </w:p>
    <w:p>
      <w:pPr>
        <w:pStyle w:val="Normal"/>
        <w:tabs>
          <w:tab w:val="clear" w:pos="720"/>
          <w:tab w:val="left" w:pos="-720" w:leader="none"/>
        </w:tabs>
        <w:suppressAutoHyphens w:val="true"/>
        <w:spacing w:before="0" w:after="240"/>
        <w:ind w:start="720" w:end="0"/>
        <w:jc w:val="both"/>
        <w:rPr>
          <w:sz w:val="22"/>
        </w:rPr>
      </w:pPr>
      <w:r>
        <w:rPr>
          <w:sz w:val="22"/>
        </w:rPr>
        <w:tab/>
        <w:t>(d)</w:t>
        <w:tab/>
        <w:t>The Put Option and the Call Option shall be exercisable only by written notice given by the exercising party (or parties) to the other party (or parties), (i) referring to this Section 3.5, (ii) stating the General Partner Call Percentage or the Limited Partner Put Percentage, as applicable, to be sold and purchased upon such exercise, and (iii) stating the closing date of such exercise, which date shall be within thirty (30) days after the date of the determination of the Appraisal Value.</w:t>
      </w:r>
    </w:p>
    <w:p>
      <w:pPr>
        <w:pStyle w:val="Normal"/>
        <w:tabs>
          <w:tab w:val="clear" w:pos="720"/>
          <w:tab w:val="left" w:pos="-720" w:leader="none"/>
        </w:tabs>
        <w:suppressAutoHyphens w:val="true"/>
        <w:spacing w:before="0" w:after="240"/>
        <w:ind w:start="720" w:end="0"/>
        <w:jc w:val="both"/>
        <w:rPr/>
      </w:pPr>
      <w:r>
        <w:rPr>
          <w:sz w:val="22"/>
        </w:rPr>
        <w:tab/>
        <w:t>(e)</w:t>
        <w:tab/>
        <w:t>At any closing of the exercise of the Put Option or the Call Option, the General Partner shall, subject to Section 3.5(f), pay the purchase price determined in accordance with Section 3.5(b) or (c), respectively, in the form of cash in U.S. dollars by wire transfer of immediately available funds to the selling Limited Partner or Limited Partners (collectively, the “</w:t>
      </w:r>
      <w:r>
        <w:rPr>
          <w:sz w:val="22"/>
          <w:u w:val="single"/>
        </w:rPr>
        <w:t>Selling Party</w:t>
      </w:r>
      <w:r>
        <w:rPr>
          <w:sz w:val="22"/>
        </w:rPr>
        <w:t>”) to an account designated in writing by the Selling Party to the General Partner not later than the business day before the closing.  The closing of the Put Option or the Call Option shall be held at such time and location as the parties to such transaction shall mutually agree on the date specified in the exercise notice.</w:t>
      </w:r>
    </w:p>
    <w:p>
      <w:pPr>
        <w:pStyle w:val="Normal"/>
        <w:suppressAutoHyphens w:val="true"/>
        <w:ind w:start="720" w:end="0"/>
        <w:rPr/>
      </w:pPr>
      <w:r>
        <w:rPr>
          <w:sz w:val="22"/>
        </w:rPr>
        <w:tab/>
        <w:t>(f)</w:t>
        <w:tab/>
        <w:t>Notwithstanding Section 3.5(e) to the contrary, in the event of an exercise of the Put Option, the General Partner shall be entitled to pay up to 50% of the purchase price determined in accordance with Section 3.5(b) in common stock (the "</w:t>
      </w:r>
      <w:r>
        <w:rPr>
          <w:sz w:val="22"/>
          <w:u w:val="single"/>
        </w:rPr>
        <w:t>Put Stock</w:t>
      </w:r>
      <w:r>
        <w:rPr>
          <w:sz w:val="22"/>
        </w:rPr>
        <w:t>") issued by [__________________] (the “</w:t>
      </w:r>
      <w:r>
        <w:rPr>
          <w:sz w:val="22"/>
          <w:u w:val="single"/>
        </w:rPr>
        <w:t>Issuer</w:t>
      </w:r>
      <w:r>
        <w:rPr>
          <w:sz w:val="22"/>
        </w:rPr>
        <w:t xml:space="preserve">”); </w:t>
      </w:r>
      <w:r>
        <w:rPr>
          <w:sz w:val="22"/>
          <w:u w:val="single"/>
        </w:rPr>
        <w:t>provided</w:t>
      </w:r>
      <w:r>
        <w:rPr>
          <w:sz w:val="22"/>
        </w:rPr>
        <w:t xml:space="preserve">, </w:t>
      </w:r>
      <w:r>
        <w:rPr>
          <w:sz w:val="22"/>
          <w:u w:val="single"/>
        </w:rPr>
        <w:t>however</w:t>
      </w:r>
      <w:r>
        <w:rPr>
          <w:sz w:val="22"/>
        </w:rPr>
        <w:t xml:space="preserve">, that the General Partner shall make available to the Limited Partners receiving the Put Stock the registration rights contained in the registration rights annex attached hereto as </w:t>
      </w:r>
      <w:r>
        <w:rPr>
          <w:b/>
          <w:sz w:val="22"/>
          <w:u w:val="single"/>
        </w:rPr>
        <w:t>Annex A</w:t>
      </w:r>
      <w:r>
        <w:rPr>
          <w:sz w:val="22"/>
        </w:rPr>
        <w:t>.</w:t>
      </w:r>
    </w:p>
    <w:p>
      <w:pPr>
        <w:pStyle w:val="Normal"/>
        <w:ind w:start="720" w:end="0"/>
        <w:rPr>
          <w:sz w:val="22"/>
        </w:rPr>
      </w:pPr>
      <w:r>
        <w:rPr>
          <w:sz w:val="22"/>
        </w:rPr>
      </w:r>
    </w:p>
    <w:p>
      <w:pPr>
        <w:pStyle w:val="Normal"/>
        <w:ind w:start="720" w:end="0"/>
        <w:rPr/>
      </w:pPr>
      <w:r>
        <w:rPr>
          <w:sz w:val="22"/>
        </w:rPr>
        <w:tab/>
        <w:t>(g)</w:t>
        <w:tab/>
        <w:t xml:space="preserve">If a Put Option is exercised by a Limited Partner or a Call Option is exercised by the General Partner, the General Partner shall amend </w:t>
      </w:r>
      <w:r>
        <w:rPr>
          <w:b/>
          <w:sz w:val="22"/>
          <w:u w:val="single"/>
        </w:rPr>
        <w:t>Schedule I</w:t>
      </w:r>
      <w:r>
        <w:rPr>
          <w:sz w:val="22"/>
        </w:rPr>
        <w:t xml:space="preserve"> to reflect the reduction in the applicable Limited Partner(s)' Percentage Interest and a corresponding increase in the General Partners' Percentage Interest upon any such exercise of a Put Option or Call Option.  Neither the General Partner nor any of its Affiliates shall become or be deemed to have become a Limited Partner of the Partnership as a result of any exercise of a Put Option or Call Option pursuant to this Section 3.5.</w:t>
      </w:r>
    </w:p>
    <w:p>
      <w:pPr>
        <w:pStyle w:val="Normal"/>
        <w:ind w:start="720" w:end="0"/>
        <w:rPr>
          <w:sz w:val="22"/>
        </w:rPr>
      </w:pPr>
      <w:r>
        <w:rPr>
          <w:sz w:val="22"/>
        </w:rPr>
      </w:r>
    </w:p>
    <w:p>
      <w:pPr>
        <w:pStyle w:val="Normal"/>
        <w:tabs>
          <w:tab w:val="clear" w:pos="720"/>
          <w:tab w:val="left" w:pos="-720" w:leader="none"/>
        </w:tabs>
        <w:suppressAutoHyphens w:val="true"/>
        <w:spacing w:before="0" w:after="240"/>
        <w:jc w:val="both"/>
        <w:rPr/>
      </w:pPr>
      <w:r>
        <w:rPr>
          <w:sz w:val="22"/>
        </w:rPr>
        <w:tab/>
        <w:t>3.6</w:t>
        <w:tab/>
      </w:r>
      <w:r>
        <w:rPr>
          <w:sz w:val="22"/>
          <w:u w:val="single"/>
        </w:rPr>
        <w:t>Operating Covenants</w:t>
      </w:r>
      <w:r>
        <w:rPr>
          <w:sz w:val="22"/>
        </w:rPr>
        <w:t>.  The General Partner hereby covenants and agrees with each of the Limited Partners that, unless a majority in interest of the Limited Partners consent:</w:t>
      </w:r>
    </w:p>
    <w:p>
      <w:pPr>
        <w:pStyle w:val="Normal"/>
        <w:tabs>
          <w:tab w:val="clear" w:pos="720"/>
          <w:tab w:val="left" w:pos="-720" w:leader="none"/>
        </w:tabs>
        <w:suppressAutoHyphens w:val="true"/>
        <w:spacing w:before="0" w:after="240"/>
        <w:ind w:start="720" w:end="0"/>
        <w:jc w:val="both"/>
        <w:rPr>
          <w:sz w:val="22"/>
        </w:rPr>
      </w:pPr>
      <w:r>
        <w:rPr>
          <w:sz w:val="22"/>
        </w:rPr>
        <w:tab/>
        <w:t>(a)</w:t>
        <w:tab/>
        <w:t>the conduct by the Partnership of any business transaction with any Affiliate of the General Partner shall be on terms no less favorable to the Partnership than would be obtained in an arm’s-length transaction with a third party who is not an Affiliate of the General Partner, and the General Partner shall provide prior written notice to the Limited Partners of any transaction between the Partnership and any such Affiliate;</w:t>
      </w:r>
    </w:p>
    <w:p>
      <w:pPr>
        <w:pStyle w:val="Normal"/>
        <w:tabs>
          <w:tab w:val="clear" w:pos="720"/>
          <w:tab w:val="left" w:pos="-720" w:leader="none"/>
        </w:tabs>
        <w:suppressAutoHyphens w:val="true"/>
        <w:spacing w:before="0" w:after="240"/>
        <w:ind w:start="720" w:end="0"/>
        <w:jc w:val="both"/>
        <w:rPr/>
      </w:pPr>
      <w:r>
        <w:rPr>
          <w:sz w:val="22"/>
        </w:rPr>
        <w:tab/>
        <w:t>(b)</w:t>
        <w:tab/>
        <w:t>neither the General Partner nor any of its Affiliates shall own, manage, control, participate in or in any manner engage in the Business with any Person in competition with the Partnership, within any geographical area in which the Partnership operates (</w:t>
      </w:r>
      <w:r>
        <w:rPr>
          <w:sz w:val="22"/>
          <w:u w:val="single"/>
        </w:rPr>
        <w:t>provided</w:t>
      </w:r>
      <w:r>
        <w:rPr>
          <w:sz w:val="22"/>
        </w:rPr>
        <w:t xml:space="preserve"> that nothing herein shall prohibit the General Partner or its Affiliates from being a passive owner of not more than 2% of the outstanding stock of a public corporation which is publicly traded, so long as neither the General Partner nor its Affiliates actively participates in the management or control of such corporation);</w:t>
      </w:r>
    </w:p>
    <w:p>
      <w:pPr>
        <w:pStyle w:val="Normal"/>
        <w:tabs>
          <w:tab w:val="clear" w:pos="720"/>
          <w:tab w:val="left" w:pos="-720" w:leader="none"/>
        </w:tabs>
        <w:suppressAutoHyphens w:val="true"/>
        <w:spacing w:before="0" w:after="240"/>
        <w:ind w:start="720" w:end="0"/>
        <w:jc w:val="both"/>
        <w:rPr>
          <w:sz w:val="22"/>
        </w:rPr>
      </w:pPr>
      <w:r>
        <w:rPr>
          <w:sz w:val="22"/>
        </w:rPr>
        <w:tab/>
        <w:t>(c)</w:t>
        <w:tab/>
        <w:t>it shall not (i) transfer any traders or other key personnel of the Partnership or its subsidiaries to the General Partner or any of its Affiliates (other than the Partnership or any subsidiary thereof); (ii) induce or attempt to induce any employee of the Partnership to leave the employ of the Partnership, or in any way interfere with the relationship between such employee and the Partnership or (iii) hire or solicit for hiring any Person who was an employee of the Partnership, until such employee has ceased to be an employee of the Partnership for a period of [twelve (12)] months;</w:t>
      </w:r>
    </w:p>
    <w:p>
      <w:pPr>
        <w:pStyle w:val="Normal"/>
        <w:tabs>
          <w:tab w:val="clear" w:pos="720"/>
          <w:tab w:val="left" w:pos="-720" w:leader="none"/>
        </w:tabs>
        <w:suppressAutoHyphens w:val="true"/>
        <w:spacing w:before="0" w:after="240"/>
        <w:ind w:start="720" w:end="0"/>
        <w:jc w:val="both"/>
        <w:rPr>
          <w:sz w:val="22"/>
        </w:rPr>
      </w:pPr>
      <w:r>
        <w:rPr>
          <w:sz w:val="22"/>
        </w:rPr>
        <w:tab/>
        <w:t>(d)</w:t>
        <w:tab/>
        <w:t>it shall not incorporate lines of business or expenses unrelated to the Business into the Partnership, including by acquisition of such line of business or entering into any transaction that would fundamentally change the business of the Partnership, and the General Partner hereby acknowledges that the Partnership shall be the exclusive platform in respect of the Business and that no new Affiliates of the General Partner shall be formed to conduct such Business;</w:t>
      </w:r>
    </w:p>
    <w:p>
      <w:pPr>
        <w:pStyle w:val="Normal"/>
        <w:tabs>
          <w:tab w:val="clear" w:pos="720"/>
          <w:tab w:val="left" w:pos="-720" w:leader="none"/>
        </w:tabs>
        <w:suppressAutoHyphens w:val="true"/>
        <w:spacing w:before="0" w:after="240"/>
        <w:ind w:start="720" w:end="0"/>
        <w:jc w:val="both"/>
        <w:rPr>
          <w:sz w:val="22"/>
        </w:rPr>
      </w:pPr>
      <w:r>
        <w:rPr>
          <w:sz w:val="22"/>
        </w:rPr>
        <w:tab/>
        <w:t>(e)</w:t>
        <w:tab/>
        <w:t>it shall cause the Partnership to maintain separate books and records with respect to the Partnership’s operations and shall not consolidate them with the books and records of the General Partner or any Affiliate of the General Partner;</w:t>
      </w:r>
    </w:p>
    <w:p>
      <w:pPr>
        <w:pStyle w:val="Normal"/>
        <w:tabs>
          <w:tab w:val="clear" w:pos="720"/>
          <w:tab w:val="left" w:pos="-720" w:leader="none"/>
        </w:tabs>
        <w:suppressAutoHyphens w:val="true"/>
        <w:spacing w:before="0" w:after="240"/>
        <w:ind w:start="720" w:end="0"/>
        <w:jc w:val="both"/>
        <w:rPr>
          <w:sz w:val="22"/>
        </w:rPr>
      </w:pPr>
      <w:r>
        <w:rPr>
          <w:sz w:val="22"/>
        </w:rPr>
        <w:tab/>
        <w:t>(f)</w:t>
        <w:tab/>
        <w:t>it shall furnish or cause to be furnished to the Limited Partners, in each case with respect to the Partnership and its subsidiaries on a consolidated basis, prepared in accordance with GAAP, (i) within thirty (30) days after March 31, June 30 and September 30 of each fiscal year of the Partnership, (t) a summary of period-ending procedures and credit reserves, (u) a summary of daily VaR reports, (v) a statement of income, (w) a statement of operations, (x) a statement of changes in Partners’ capital, (y) a statement of cash flows of the Partnership with respect to each quarter then ending and (z) a certificate to the effect that the Partnership is currently in compliance with each of the covenants contained in this Section 3.6 and, (ii) within forty-five (45) days following the end of each fiscal year of the Partnership, a balance sheet of the Partnership as of the year end and related statements of income, statements of operations, changes in Partners’ capital, a statement of cash flows of the Partnership for such year, a summary of period-ending procedures and credit reserves, and a summary of daily VaR reports, accompanied by an audited report from the “Big Five” independent public accountants of the Partnership, selected by the General Partner with the consent of a majority in interest of the Limited Partners, containing an opinion of such accountants, as well as a certificate to the effect that the Partnership is currently in compliance with each of the covenants contained in this Section 3.6;</w:t>
      </w:r>
    </w:p>
    <w:p>
      <w:pPr>
        <w:pStyle w:val="Normal"/>
        <w:tabs>
          <w:tab w:val="clear" w:pos="720"/>
          <w:tab w:val="left" w:pos="-720" w:leader="none"/>
        </w:tabs>
        <w:suppressAutoHyphens w:val="true"/>
        <w:spacing w:before="0" w:after="240"/>
        <w:ind w:start="720" w:end="0"/>
        <w:jc w:val="both"/>
        <w:rPr>
          <w:sz w:val="22"/>
        </w:rPr>
      </w:pPr>
      <w:r>
        <w:rPr>
          <w:sz w:val="22"/>
        </w:rPr>
        <w:tab/>
        <w:t>[(g)</w:t>
        <w:tab/>
        <w:t>it or Parent shall provide appropriate levels of Working Capital to the Partnership to enable the Partnership to operate the Business on a commercially reasonable basis taking into account at any given time the effective VaR amount;]</w:t>
      </w:r>
    </w:p>
    <w:p>
      <w:pPr>
        <w:pStyle w:val="Normal"/>
        <w:tabs>
          <w:tab w:val="clear" w:pos="720"/>
          <w:tab w:val="left" w:pos="-720" w:leader="none"/>
        </w:tabs>
        <w:suppressAutoHyphens w:val="true"/>
        <w:spacing w:before="0" w:after="240"/>
        <w:ind w:start="720" w:end="0"/>
        <w:jc w:val="both"/>
        <w:rPr>
          <w:sz w:val="22"/>
        </w:rPr>
      </w:pPr>
      <w:r>
        <w:rPr>
          <w:sz w:val="22"/>
        </w:rPr>
        <w:tab/>
        <w:t>(h)</w:t>
        <w:tab/>
        <w:t>each trading contract and each trade entered into by the Partnership shall be fully and unconditionally guaranteed as to payment and performance by Parent without additional cost allocated to the Partnership;</w:t>
      </w:r>
    </w:p>
    <w:p>
      <w:pPr>
        <w:pStyle w:val="Normal"/>
        <w:tabs>
          <w:tab w:val="clear" w:pos="720"/>
          <w:tab w:val="left" w:pos="-720" w:leader="none"/>
        </w:tabs>
        <w:suppressAutoHyphens w:val="true"/>
        <w:spacing w:before="0" w:after="240"/>
        <w:ind w:start="720" w:end="0"/>
        <w:jc w:val="both"/>
        <w:rPr>
          <w:sz w:val="22"/>
        </w:rPr>
      </w:pPr>
      <w:r>
        <w:rPr>
          <w:sz w:val="22"/>
        </w:rPr>
        <w:tab/>
        <w:t xml:space="preserve">(i) </w:t>
        <w:tab/>
        <w:t>it shall not permit allocated corporate overhead for services and support provided by the General Partner and its subsidiaries to exceed such allocations as are permitted in accordance with the General Partner's policies in respect of its direct and indirect subsidiaries generally, as such policies are in effect on the date hereof, and may be modified from time to time by the General Partner generally with respect to all of its subsidiaries;</w:t>
      </w:r>
    </w:p>
    <w:p>
      <w:pPr>
        <w:pStyle w:val="Normal"/>
        <w:tabs>
          <w:tab w:val="clear" w:pos="720"/>
          <w:tab w:val="left" w:pos="-720" w:leader="none"/>
        </w:tabs>
        <w:suppressAutoHyphens w:val="true"/>
        <w:spacing w:before="0" w:after="240"/>
        <w:ind w:start="720" w:end="0"/>
        <w:jc w:val="both"/>
        <w:rPr>
          <w:sz w:val="22"/>
        </w:rPr>
      </w:pPr>
      <w:r>
        <w:rPr>
          <w:sz w:val="22"/>
        </w:rPr>
        <w:tab/>
        <w:t xml:space="preserve">(j)  </w:t>
        <w:tab/>
        <w:t>it shall not permit the Partnership to incur indebtedness at an imputed rate of interest exceeding the then-effective London interbank offered rate as announced by ______ at 11:00 a.m. London time, plus [spread];</w:t>
      </w:r>
    </w:p>
    <w:p>
      <w:pPr>
        <w:pStyle w:val="Normal"/>
        <w:tabs>
          <w:tab w:val="clear" w:pos="720"/>
          <w:tab w:val="left" w:pos="-720" w:leader="none"/>
        </w:tabs>
        <w:suppressAutoHyphens w:val="true"/>
        <w:spacing w:before="0" w:after="240"/>
        <w:ind w:start="720" w:end="0"/>
        <w:jc w:val="both"/>
        <w:rPr>
          <w:sz w:val="22"/>
        </w:rPr>
      </w:pPr>
      <w:r>
        <w:rPr>
          <w:sz w:val="22"/>
        </w:rPr>
        <w:tab/>
        <w:t>(k)</w:t>
        <w:tab/>
        <w:t>it shall not permit the Partnership voluntarily to file for bankruptcy protection or to file an insolvency petition or a declaration of insolvency;</w:t>
      </w:r>
    </w:p>
    <w:p>
      <w:pPr>
        <w:pStyle w:val="Normal"/>
        <w:tabs>
          <w:tab w:val="clear" w:pos="720"/>
          <w:tab w:val="left" w:pos="-720" w:leader="none"/>
        </w:tabs>
        <w:suppressAutoHyphens w:val="true"/>
        <w:spacing w:before="0" w:after="240"/>
        <w:ind w:hanging="720" w:start="720" w:end="0"/>
        <w:jc w:val="both"/>
        <w:rPr>
          <w:sz w:val="22"/>
        </w:rPr>
      </w:pPr>
      <w:r>
        <w:rPr>
          <w:sz w:val="22"/>
        </w:rPr>
        <w:tab/>
        <w:tab/>
        <w:t>(l)</w:t>
        <w:tab/>
        <w:t>it shall not permit the Partnership to license or sublicense EnronOnline and the associated software licenses or other intellectual property rights to any Person other than the Partnership or its subsidiaries;</w:t>
      </w:r>
    </w:p>
    <w:p>
      <w:pPr>
        <w:pStyle w:val="Normal"/>
        <w:tabs>
          <w:tab w:val="clear" w:pos="720"/>
          <w:tab w:val="left" w:pos="-720" w:leader="none"/>
        </w:tabs>
        <w:suppressAutoHyphens w:val="true"/>
        <w:spacing w:before="0" w:after="240"/>
        <w:ind w:start="720" w:end="0"/>
        <w:jc w:val="both"/>
        <w:rPr>
          <w:sz w:val="22"/>
        </w:rPr>
      </w:pPr>
      <w:r>
        <w:rPr>
          <w:sz w:val="22"/>
        </w:rPr>
        <w:tab/>
        <w:t>(m)</w:t>
        <w:tab/>
        <w:t>it shall cause the Partnership to adopt and pursue a hedging program described in Section 1221 of the Code and the Income Tax Regulations promulgated thereunder;</w:t>
      </w:r>
    </w:p>
    <w:p>
      <w:pPr>
        <w:pStyle w:val="Normal"/>
        <w:tabs>
          <w:tab w:val="clear" w:pos="720"/>
          <w:tab w:val="left" w:pos="-720" w:leader="none"/>
        </w:tabs>
        <w:suppressAutoHyphens w:val="true"/>
        <w:spacing w:before="0" w:after="240"/>
        <w:ind w:start="720" w:end="0"/>
        <w:jc w:val="both"/>
        <w:rPr>
          <w:sz w:val="22"/>
        </w:rPr>
      </w:pPr>
      <w:r>
        <w:rPr>
          <w:sz w:val="22"/>
        </w:rPr>
        <w:tab/>
        <w:t xml:space="preserve">(n) </w:t>
        <w:tab/>
        <w:t>it shall, in respect of each Fiscal Year, allocate the Bonus Pool for the purpose of compensating employees of the business, with the identity of participants and individual Bonus Pool allocation amounts to be determined by management of the Partnership; and</w:t>
      </w:r>
    </w:p>
    <w:p>
      <w:pPr>
        <w:pStyle w:val="Normal"/>
        <w:tabs>
          <w:tab w:val="clear" w:pos="720"/>
          <w:tab w:val="left" w:pos="-720" w:leader="none"/>
        </w:tabs>
        <w:suppressAutoHyphens w:val="true"/>
        <w:spacing w:before="0" w:after="240"/>
        <w:ind w:start="720" w:end="0"/>
        <w:jc w:val="both"/>
        <w:rPr>
          <w:sz w:val="22"/>
        </w:rPr>
      </w:pPr>
      <w:r>
        <w:rPr>
          <w:sz w:val="22"/>
        </w:rPr>
        <w:tab/>
        <w:t>(o)</w:t>
        <w:tab/>
        <w:t>it shall, at the request of any Partner, file an election under Section 754 of the Code.</w:t>
      </w:r>
    </w:p>
    <w:p>
      <w:pPr>
        <w:pStyle w:val="Normal"/>
        <w:tabs>
          <w:tab w:val="clear" w:pos="720"/>
          <w:tab w:val="left" w:pos="-720" w:leader="none"/>
        </w:tabs>
        <w:suppressAutoHyphens w:val="true"/>
        <w:spacing w:before="0" w:after="240"/>
        <w:jc w:val="both"/>
        <w:rPr/>
      </w:pPr>
      <w:r>
        <w:rPr>
          <w:sz w:val="22"/>
        </w:rPr>
        <w:tab/>
        <w:t>3.7</w:t>
        <w:tab/>
      </w:r>
      <w:r>
        <w:rPr>
          <w:sz w:val="22"/>
          <w:u w:val="single"/>
        </w:rPr>
        <w:t>Buyback and Sale Rights</w:t>
      </w:r>
      <w:r>
        <w:rPr>
          <w:sz w:val="22"/>
        </w:rPr>
        <w:t>.</w:t>
      </w:r>
    </w:p>
    <w:p>
      <w:pPr>
        <w:pStyle w:val="Normal"/>
        <w:tabs>
          <w:tab w:val="clear" w:pos="720"/>
          <w:tab w:val="left" w:pos="-720" w:leader="none"/>
        </w:tabs>
        <w:suppressAutoHyphens w:val="true"/>
        <w:spacing w:before="0" w:after="240"/>
        <w:ind w:firstLine="720" w:start="720" w:end="0"/>
        <w:jc w:val="both"/>
        <w:rPr/>
      </w:pPr>
      <w:r>
        <w:rPr>
          <w:sz w:val="22"/>
        </w:rPr>
        <w:t>(a) If (A) by the fourth anniversary of the Closing Date, the Partnership has not, pursuant to Section 5.1, distributed net cash in the amount of at least [$_________] in the aggregate to the Limited Partners, or (B) at any time, any class of debt securities issued by any one of the Partnership, the General Partner or [any direct or indirect holder of more than __% of the equity interests in the General Partner] is rated lower than BBB+ by Standard &amp; Poor’s Corporation or Baa1 by Moody’s Investors Service, Inc., or (C) in the good-faith judgment of a majority in interest of the Limited Partners, there has been a Shutdown, or (D) the General Partner has elected to dissolve the Partnership pursuant to Section 9.1(a), then the Limited Partners shall have the option, exercisable within 15 days after the date of the event, to the extent not cured prior thereto (the “</w:t>
      </w:r>
      <w:r>
        <w:rPr>
          <w:sz w:val="22"/>
          <w:u w:val="single"/>
        </w:rPr>
        <w:t>Event Date</w:t>
      </w:r>
      <w:r>
        <w:rPr>
          <w:sz w:val="22"/>
        </w:rPr>
        <w:t>”), in any of clauses (A), (B) or (C) of this Section 3.7 that triggered such option, to elect either to (i) require the General Partner to effect the sale of the Partnership to a third party (the “</w:t>
      </w:r>
      <w:r>
        <w:rPr>
          <w:sz w:val="22"/>
          <w:u w:val="single"/>
        </w:rPr>
        <w:t>Partnership Sale Election</w:t>
      </w:r>
      <w:r>
        <w:rPr>
          <w:sz w:val="22"/>
        </w:rPr>
        <w:t xml:space="preserve">”) or (ii) repurchase all of the tangible and intangible assets of the Partnership for a purchase price equal to the Appraised Value </w:t>
      </w:r>
      <w:r>
        <w:rPr>
          <w:sz w:val="22"/>
          <w:u w:val="single"/>
        </w:rPr>
        <w:t>multiplied by</w:t>
      </w:r>
      <w:r>
        <w:rPr>
          <w:sz w:val="22"/>
        </w:rPr>
        <w:t xml:space="preserve"> the General Partner's Percentage Interest at such time (the “</w:t>
      </w:r>
      <w:r>
        <w:rPr>
          <w:sz w:val="22"/>
          <w:u w:val="single"/>
        </w:rPr>
        <w:t>LP Buyout Election</w:t>
      </w:r>
      <w:r>
        <w:rPr>
          <w:sz w:val="22"/>
        </w:rPr>
        <w:t>”).</w:t>
      </w:r>
    </w:p>
    <w:p>
      <w:pPr>
        <w:pStyle w:val="Normal"/>
        <w:tabs>
          <w:tab w:val="clear" w:pos="720"/>
          <w:tab w:val="left" w:pos="-720" w:leader="none"/>
        </w:tabs>
        <w:suppressAutoHyphens w:val="true"/>
        <w:spacing w:before="0" w:after="240"/>
        <w:ind w:firstLine="720" w:start="720" w:end="0"/>
        <w:jc w:val="both"/>
        <w:rPr/>
      </w:pPr>
      <w:r>
        <w:rPr>
          <w:sz w:val="22"/>
        </w:rPr>
        <w:t xml:space="preserve">(b) If the Limited Partners make the Partnership Sale Election, the Limited Partners shall send a written notice of such election to the General Partner within [thirty (30)] days after the applicable Event Date.  The General Partner shall cooperate in good faith with the Limited Partners to effect a sale of the Partnership to a purchaser on such terms and conditions as shall be agreed upon among the General Partner, the Limited Partners and such purchaser within 120 days after the applicable Event Date; </w:t>
      </w:r>
      <w:r>
        <w:rPr>
          <w:sz w:val="22"/>
          <w:u w:val="single"/>
        </w:rPr>
        <w:t>provided</w:t>
      </w:r>
      <w:r>
        <w:rPr>
          <w:sz w:val="22"/>
        </w:rPr>
        <w:t xml:space="preserve">, </w:t>
      </w:r>
      <w:r>
        <w:rPr>
          <w:sz w:val="22"/>
          <w:u w:val="single"/>
        </w:rPr>
        <w:t>however</w:t>
      </w:r>
      <w:r>
        <w:rPr>
          <w:sz w:val="22"/>
        </w:rPr>
        <w:t>, that the Limited Partners shall be entitled to a right of first refusal on any such sale of the Partnership.</w:t>
      </w:r>
    </w:p>
    <w:p>
      <w:pPr>
        <w:pStyle w:val="Normal"/>
        <w:tabs>
          <w:tab w:val="clear" w:pos="720"/>
          <w:tab w:val="left" w:pos="-720" w:leader="none"/>
        </w:tabs>
        <w:suppressAutoHyphens w:val="true"/>
        <w:spacing w:before="0" w:after="240"/>
        <w:ind w:firstLine="720" w:start="720" w:end="0"/>
        <w:jc w:val="both"/>
        <w:rPr>
          <w:sz w:val="22"/>
        </w:rPr>
      </w:pPr>
      <w:r>
        <w:rPr>
          <w:sz w:val="22"/>
        </w:rPr>
        <w:t>(c) If the Limited Partners make the LP Buyout Election, the Limited Partners shall send a written notice of such election to the General Partner within [thirty (30)] days after the applicable Event Date.  Not later than ten (10) days following receipt of such notice, the General Partner shall execute and deliver on behalf of the Partnership any required instruments of transfer necessary or reasonably requested by the Limited Partners or their designee to vest in the Limited Partners or their designee good and valid title to all of the tangible and intangible assets of the Partnership.</w:t>
      </w:r>
    </w:p>
    <w:p>
      <w:pPr>
        <w:pStyle w:val="Normal"/>
        <w:tabs>
          <w:tab w:val="clear" w:pos="720"/>
          <w:tab w:val="left" w:pos="-720" w:leader="none"/>
        </w:tabs>
        <w:suppressAutoHyphens w:val="true"/>
        <w:spacing w:before="0" w:after="240"/>
        <w:jc w:val="both"/>
        <w:rPr>
          <w:sz w:val="22"/>
          <w:u w:val="single"/>
        </w:rPr>
      </w:pPr>
      <w:r>
        <w:rPr>
          <w:sz w:val="22"/>
        </w:rPr>
        <w:tab/>
        <w:t>3.8</w:t>
        <w:tab/>
      </w:r>
      <w:r>
        <w:rPr>
          <w:sz w:val="22"/>
          <w:u w:val="single"/>
        </w:rPr>
        <w:t>Appraisal Expenses</w:t>
      </w:r>
      <w:r>
        <w:rPr>
          <w:sz w:val="22"/>
        </w:rPr>
        <w:t>.  The fees and expenses of any Appraiser pursuant to any Appraisal hereunder shall be borne by the Partnership.</w:t>
      </w:r>
    </w:p>
    <w:p>
      <w:pPr>
        <w:pStyle w:val="Normal"/>
        <w:numPr>
          <w:ilvl w:val="0"/>
          <w:numId w:val="0"/>
        </w:numPr>
        <w:tabs>
          <w:tab w:val="clear" w:pos="720"/>
          <w:tab w:val="left" w:pos="-720" w:leader="none"/>
        </w:tabs>
        <w:suppressAutoHyphens w:val="true"/>
        <w:jc w:val="center"/>
        <w:outlineLvl w:val="0"/>
        <w:rPr>
          <w:sz w:val="22"/>
        </w:rPr>
      </w:pPr>
      <w:r>
        <w:rPr>
          <w:sz w:val="22"/>
        </w:rPr>
        <w:t>ARTICLE IV</w:t>
      </w:r>
    </w:p>
    <w:p>
      <w:pPr>
        <w:pStyle w:val="Heading1"/>
        <w:spacing w:before="0" w:after="240"/>
        <w:ind w:hanging="0" w:start="0"/>
        <w:jc w:val="center"/>
        <w:rPr>
          <w:b w:val="false"/>
          <w:sz w:val="22"/>
          <w:u w:val="single"/>
        </w:rPr>
      </w:pPr>
      <w:r>
        <w:rPr>
          <w:b w:val="false"/>
          <w:sz w:val="22"/>
          <w:u w:val="single"/>
        </w:rPr>
        <w:t>Exculpation and Indemnification</w:t>
      </w:r>
    </w:p>
    <w:p>
      <w:pPr>
        <w:pStyle w:val="Normal"/>
        <w:tabs>
          <w:tab w:val="clear" w:pos="720"/>
          <w:tab w:val="left" w:pos="-720" w:leader="none"/>
        </w:tabs>
        <w:suppressAutoHyphens w:val="true"/>
        <w:spacing w:before="0" w:after="240"/>
        <w:jc w:val="both"/>
        <w:rPr/>
      </w:pPr>
      <w:r>
        <w:rPr>
          <w:sz w:val="22"/>
        </w:rPr>
        <w:tab/>
        <w:t>4.1</w:t>
        <w:tab/>
      </w:r>
      <w:r>
        <w:rPr>
          <w:sz w:val="22"/>
          <w:u w:val="single"/>
        </w:rPr>
        <w:t>Exculpation</w:t>
      </w:r>
      <w:r>
        <w:rPr>
          <w:sz w:val="22"/>
        </w:rPr>
        <w:t>.  Subject to applicable law, none of the General Partner, its Affiliates, nor their respective officers, directors, stockholders, managers, members, partners, employees, or agents, shall be liable, responsible, or accountable in damages or otherwise to the Partnership or any Partner by reason of, arising from, or relating to the operations, business, or affairs of, or any action taken or failure to act on behalf of, the Partnership, the General Partner, or any of their respective Affiliates, except to the extent that any of the foregoing is determined, by a final, nonappealable order of a court of competent jurisdiction, to have been caused by the negligence, willful misconduct, or bad faith of the Person claiming exculpation.</w:t>
      </w:r>
    </w:p>
    <w:p>
      <w:pPr>
        <w:pStyle w:val="Normal"/>
        <w:tabs>
          <w:tab w:val="clear" w:pos="720"/>
          <w:tab w:val="left" w:pos="-720" w:leader="none"/>
        </w:tabs>
        <w:suppressAutoHyphens w:val="true"/>
        <w:spacing w:before="0" w:after="240"/>
        <w:jc w:val="both"/>
        <w:rPr/>
      </w:pPr>
      <w:r>
        <w:rPr>
          <w:sz w:val="22"/>
        </w:rPr>
        <w:tab/>
        <w:t>4.2</w:t>
        <w:tab/>
      </w:r>
      <w:r>
        <w:rPr>
          <w:sz w:val="22"/>
          <w:u w:val="single"/>
        </w:rPr>
        <w:t>Indemnification</w:t>
      </w:r>
      <w:r>
        <w:rPr>
          <w:sz w:val="22"/>
        </w:rPr>
        <w:t xml:space="preserve">.  To the fullest extent permitted by applicable law, the Partnership shall indemnify the General Partner, its Affiliates, and their respective officers, directors, stockholders, managers, members, partners, employees, and agents against any claim, loss, damage, liability, or expense (including, reasonable attorneys' fees, court costs, and costs of investigation and appeal) suffered or incurred by any such indemnitee by reason of, arising from, or relating to the operations, business, or affairs of, or any action taken or failure to act on behalf of, the Partnership, the General Partner, or any of their respective Affiliates, except to the extent any of the foregoing is determined by final, nonappealable order of a court of competent jurisdiction to have been caused by the negligence, willful misconduct, or bad faith of the Person claiming indemnification.  Unless a determination has been made (by final, nonappealable order of a court of competent jurisdiction) that indemnification is not required, the Partnership shall, upon the request of any indemnitee, advance or promptly reimburse such indemnitee's reasonable costs of investigation, litigation, or appeal, including reasonable attorneys' fees; </w:t>
      </w:r>
      <w:r>
        <w:rPr>
          <w:sz w:val="22"/>
          <w:u w:val="single"/>
        </w:rPr>
        <w:t>provided</w:t>
      </w:r>
      <w:r>
        <w:rPr>
          <w:sz w:val="22"/>
        </w:rPr>
        <w:t xml:space="preserve">, </w:t>
      </w:r>
      <w:r>
        <w:rPr>
          <w:sz w:val="22"/>
          <w:u w:val="single"/>
        </w:rPr>
        <w:t>however</w:t>
      </w:r>
      <w:r>
        <w:rPr>
          <w:sz w:val="22"/>
        </w:rPr>
        <w:t>, that as a condition of an indemnitee's right to receive such advances and reimbursements, the affected indemnitee shall undertake in writing to repay promptly the Partnership for all such advancements or reimbursements if a court of competent jurisdiction determines that such indemnitee is not then entitled to indemnification under this Section 4.2, and, at the request of the General Partner or, in the event that the General Partner is requesting indemnity, a majority in interest of the Limited Partners, shall secure such repayment undertaking with a perfected first-priority lien (in favor of the Partnership) on such indemnitee's interest in the Partnership or on other collateral reasonably acceptable to such indemnitee and the General Partner.  No Partner shall be required to contribute capital in respect of any indemnification claim under this Section 4.2.</w:t>
      </w:r>
    </w:p>
    <w:p>
      <w:pPr>
        <w:pStyle w:val="Normal"/>
        <w:numPr>
          <w:ilvl w:val="0"/>
          <w:numId w:val="0"/>
        </w:numPr>
        <w:tabs>
          <w:tab w:val="clear" w:pos="720"/>
          <w:tab w:val="left" w:pos="-720" w:leader="none"/>
        </w:tabs>
        <w:suppressAutoHyphens w:val="true"/>
        <w:jc w:val="center"/>
        <w:outlineLvl w:val="0"/>
        <w:rPr>
          <w:sz w:val="22"/>
        </w:rPr>
      </w:pPr>
      <w:r>
        <w:rPr>
          <w:sz w:val="22"/>
        </w:rPr>
        <w:t>ARTICLE V</w:t>
      </w:r>
    </w:p>
    <w:p>
      <w:pPr>
        <w:pStyle w:val="Heading2"/>
        <w:spacing w:before="0" w:after="240"/>
        <w:ind w:hanging="0" w:start="0"/>
        <w:jc w:val="center"/>
        <w:rPr>
          <w:b w:val="false"/>
          <w:i w:val="false"/>
          <w:i w:val="false"/>
          <w:sz w:val="22"/>
          <w:u w:val="single"/>
        </w:rPr>
      </w:pPr>
      <w:r>
        <w:rPr>
          <w:b w:val="false"/>
          <w:i w:val="false"/>
          <w:sz w:val="22"/>
          <w:u w:val="single"/>
        </w:rPr>
        <w:t>Distributions and Allocations</w:t>
      </w:r>
    </w:p>
    <w:p>
      <w:pPr>
        <w:pStyle w:val="Normal"/>
        <w:tabs>
          <w:tab w:val="clear" w:pos="720"/>
          <w:tab w:val="left" w:pos="-720" w:leader="none"/>
        </w:tabs>
        <w:suppressAutoHyphens w:val="true"/>
        <w:spacing w:before="0" w:after="240"/>
        <w:jc w:val="both"/>
        <w:rPr/>
      </w:pPr>
      <w:r>
        <w:rPr>
          <w:sz w:val="22"/>
        </w:rPr>
        <w:tab/>
        <w:t>5.1</w:t>
        <w:tab/>
      </w:r>
      <w:r>
        <w:rPr>
          <w:sz w:val="22"/>
          <w:u w:val="single"/>
        </w:rPr>
        <w:t>Periodic Distributions</w:t>
      </w:r>
      <w:r>
        <w:rPr>
          <w:sz w:val="22"/>
        </w:rPr>
        <w:t>.  Distributions shall be made to the Partners as follows, in each case subject to any limitations imposed on such distribution by applicable law:</w:t>
      </w:r>
    </w:p>
    <w:p>
      <w:pPr>
        <w:pStyle w:val="Normal"/>
        <w:tabs>
          <w:tab w:val="clear" w:pos="720"/>
          <w:tab w:val="left" w:pos="-720" w:leader="none"/>
        </w:tabs>
        <w:suppressAutoHyphens w:val="true"/>
        <w:spacing w:before="0" w:after="240"/>
        <w:ind w:start="720" w:end="0"/>
        <w:jc w:val="both"/>
        <w:rPr/>
      </w:pPr>
      <w:r>
        <w:rPr>
          <w:sz w:val="22"/>
        </w:rPr>
        <w:tab/>
        <w:t>(a)</w:t>
        <w:tab/>
        <w:t>On the [15</w:t>
      </w:r>
      <w:r>
        <w:rPr>
          <w:sz w:val="22"/>
          <w:vertAlign w:val="superscript"/>
        </w:rPr>
        <w:t>th</w:t>
      </w:r>
      <w:r>
        <w:rPr>
          <w:sz w:val="22"/>
        </w:rPr>
        <w:t xml:space="preserve"> day] following the last day of each fiscal quarter of the Partnership (each, a “</w:t>
      </w:r>
      <w:r>
        <w:rPr>
          <w:sz w:val="22"/>
          <w:u w:val="single"/>
        </w:rPr>
        <w:t>Quarter</w:t>
      </w:r>
      <w:r>
        <w:rPr>
          <w:sz w:val="22"/>
        </w:rPr>
        <w:t>”), the Partnership shall distribute, in cash, the Quarterly Income in respect of such Quarter, if any, to the Partners in accordance with their respective Percentage Interests.</w:t>
      </w:r>
    </w:p>
    <w:p>
      <w:pPr>
        <w:pStyle w:val="Normal"/>
        <w:tabs>
          <w:tab w:val="clear" w:pos="720"/>
          <w:tab w:val="left" w:pos="-720" w:leader="none"/>
        </w:tabs>
        <w:suppressAutoHyphens w:val="true"/>
        <w:spacing w:before="0" w:after="240"/>
        <w:ind w:start="720" w:end="0"/>
        <w:jc w:val="both"/>
        <w:rPr>
          <w:sz w:val="22"/>
        </w:rPr>
      </w:pPr>
      <w:r>
        <w:rPr>
          <w:sz w:val="22"/>
        </w:rPr>
        <w:tab/>
        <w:t>(b)</w:t>
        <w:tab/>
        <w:t>No other distribution or dividend shall be declared or paid by the Partnership without the agreement of the General Partner and a majority in interest of the Limited Partners.</w:t>
      </w:r>
    </w:p>
    <w:p>
      <w:pPr>
        <w:pStyle w:val="Normal"/>
        <w:keepLines/>
        <w:tabs>
          <w:tab w:val="clear" w:pos="720"/>
          <w:tab w:val="left" w:pos="-720" w:leader="none"/>
        </w:tabs>
        <w:suppressAutoHyphens w:val="true"/>
        <w:spacing w:before="0" w:after="240"/>
        <w:jc w:val="both"/>
        <w:rPr/>
      </w:pPr>
      <w:r>
        <w:rPr>
          <w:sz w:val="22"/>
        </w:rPr>
        <w:tab/>
        <w:t>5.2</w:t>
        <w:tab/>
      </w:r>
      <w:r>
        <w:rPr>
          <w:sz w:val="22"/>
          <w:u w:val="single"/>
        </w:rPr>
        <w:t>Allocations</w:t>
      </w:r>
      <w:r>
        <w:rPr>
          <w:sz w:val="22"/>
        </w:rPr>
        <w:t>.  </w:t>
      </w:r>
    </w:p>
    <w:p>
      <w:pPr>
        <w:pStyle w:val="Normal"/>
        <w:keepLines/>
        <w:tabs>
          <w:tab w:val="clear" w:pos="720"/>
          <w:tab w:val="left" w:pos="-720" w:leader="none"/>
        </w:tabs>
        <w:suppressAutoHyphens w:val="true"/>
        <w:spacing w:before="0" w:after="240"/>
        <w:jc w:val="both"/>
        <w:rPr/>
      </w:pPr>
      <w:r>
        <w:rPr>
          <w:sz w:val="22"/>
        </w:rPr>
        <w:tab/>
        <w:tab/>
        <w:t>(a)</w:t>
        <w:tab/>
      </w:r>
      <w:r>
        <w:rPr>
          <w:sz w:val="22"/>
          <w:u w:val="single"/>
        </w:rPr>
        <w:t>General Application</w:t>
      </w:r>
      <w:r>
        <w:rPr>
          <w:sz w:val="22"/>
        </w:rPr>
        <w:t>.</w:t>
      </w:r>
      <w:r>
        <w:rPr>
          <w:b/>
          <w:sz w:val="22"/>
        </w:rPr>
        <w:t xml:space="preserve">  </w:t>
      </w:r>
      <w:r>
        <w:rPr>
          <w:sz w:val="22"/>
        </w:rPr>
        <w:t>The rules set forth below in this Section 5.2 shall apply for the purposes of determining each Partner’s allocable share of the items of income, gain, loss and expense of the Partnership comprising Net Income or Net Loss of the Partnership for each Fiscal Year, determining special allocations of other items of income, gain, loss and expense, and adjusting the balance of each Partner’s Capital Account to reflect the aforementioned general and special allocations. For each Fiscal Year, the special allocations in Section 5.2(e) shall be made immediately prior to the general allocations of Section 5.2(b).</w:t>
      </w:r>
    </w:p>
    <w:p>
      <w:pPr>
        <w:pStyle w:val="Normal"/>
        <w:keepLines/>
        <w:tabs>
          <w:tab w:val="clear" w:pos="720"/>
          <w:tab w:val="left" w:pos="-720" w:leader="none"/>
        </w:tabs>
        <w:suppressAutoHyphens w:val="true"/>
        <w:spacing w:before="0" w:after="240"/>
        <w:jc w:val="both"/>
        <w:rPr/>
      </w:pPr>
      <w:r>
        <w:rPr>
          <w:sz w:val="22"/>
        </w:rPr>
        <w:tab/>
        <w:tab/>
        <w:t>(b)</w:t>
        <w:tab/>
      </w:r>
      <w:r>
        <w:rPr>
          <w:sz w:val="22"/>
          <w:u w:val="single"/>
        </w:rPr>
        <w:t>General Allocations</w:t>
      </w:r>
      <w:r>
        <w:rPr>
          <w:sz w:val="22"/>
        </w:rPr>
        <w:t>.</w:t>
      </w:r>
      <w:r>
        <w:rPr>
          <w:b/>
          <w:sz w:val="22"/>
        </w:rPr>
        <w:t xml:space="preserve"> </w:t>
      </w:r>
      <w:r>
        <w:rPr>
          <w:sz w:val="22"/>
        </w:rPr>
        <w:t xml:space="preserve"> </w:t>
      </w:r>
    </w:p>
    <w:p>
      <w:pPr>
        <w:pStyle w:val="Normal"/>
        <w:keepLines/>
        <w:tabs>
          <w:tab w:val="clear" w:pos="720"/>
          <w:tab w:val="left" w:pos="-720" w:leader="none"/>
        </w:tabs>
        <w:suppressAutoHyphens w:val="true"/>
        <w:spacing w:before="0" w:after="240"/>
        <w:jc w:val="both"/>
        <w:rPr/>
      </w:pPr>
      <w:r>
        <w:rPr>
          <w:sz w:val="22"/>
        </w:rPr>
        <w:tab/>
        <w:tab/>
        <w:tab/>
        <w:t>(i)</w:t>
        <w:tab/>
      </w:r>
      <w:r>
        <w:rPr>
          <w:sz w:val="22"/>
          <w:u w:val="single"/>
        </w:rPr>
        <w:t>Hypothetical Liquidation</w:t>
      </w:r>
      <w:r>
        <w:rPr>
          <w:sz w:val="22"/>
        </w:rPr>
        <w:t>.  The items of income, expense, gain and loss of the Partnership comprising Net Income or Net Loss for a Fiscal Year shall be allocated among the persons who were Partners during such Fiscal Year in a manner that will, as nearly as possible, cause the Capital Account balance of each Partner at the end of such Fiscal Year to equal the excess (which may be negative) of:</w:t>
      </w:r>
    </w:p>
    <w:p>
      <w:pPr>
        <w:pStyle w:val="Normal"/>
        <w:keepLines/>
        <w:tabs>
          <w:tab w:val="clear" w:pos="720"/>
          <w:tab w:val="left" w:pos="-720" w:leader="none"/>
        </w:tabs>
        <w:suppressAutoHyphens w:val="true"/>
        <w:spacing w:before="0" w:after="240"/>
        <w:jc w:val="both"/>
        <w:rPr>
          <w:sz w:val="22"/>
        </w:rPr>
      </w:pPr>
      <w:r>
        <w:rPr>
          <w:sz w:val="22"/>
        </w:rPr>
        <w:tab/>
        <w:tab/>
        <w:tab/>
        <w:tab/>
        <w:t>(A)</w:t>
        <w:tab/>
        <w:t>the amount of the hypothetical distribution (if any) that such Partner would receive if, on the last day of the Fiscal Year, (x) all Partnership assets, including cash were sold for cash equal to their Gross Asset Values, taking into account any adjustments thereto for such Fiscal Year, (y) all Partnership liabilities were satisfied in cash according to their terms (limited, with respect to each nonrecourse liability, to the Gross Asset Values of the assets securing such liability) and (z) the net proceeds thereof (after satisfaction of such liabilities) were distributed in full pursuant to Sections 5.1 and 9.6 over</w:t>
      </w:r>
    </w:p>
    <w:p>
      <w:pPr>
        <w:pStyle w:val="Normal"/>
        <w:keepLines/>
        <w:tabs>
          <w:tab w:val="clear" w:pos="720"/>
          <w:tab w:val="left" w:pos="-720" w:leader="none"/>
        </w:tabs>
        <w:suppressAutoHyphens w:val="true"/>
        <w:spacing w:before="0" w:after="240"/>
        <w:jc w:val="both"/>
        <w:rPr>
          <w:sz w:val="22"/>
        </w:rPr>
      </w:pPr>
      <w:r>
        <w:rPr>
          <w:sz w:val="22"/>
        </w:rPr>
        <w:tab/>
        <w:tab/>
        <w:tab/>
        <w:tab/>
        <w:t>(B)</w:t>
        <w:tab/>
        <w:t>the sum of (x) the amount, if any, without duplication, that such Partner would be obligated to contribute to the capital of the Partnership, (y) such Partner’s share of Partnership Minimum Gain determined pursuant to Regulations Section 1.704-2(g) and (z) such Partner’s share of Partner Nonrecourse Debt Minimum Gain determined pursuant to Regulations Section 1.704</w:t>
        <w:noBreakHyphen/>
        <w:t>2(i)(5), all computed as of the hypothetical sale described in Section 5.2(b)(i)(A) above.</w:t>
      </w:r>
    </w:p>
    <w:p>
      <w:pPr>
        <w:pStyle w:val="Normal"/>
        <w:keepLines/>
        <w:tabs>
          <w:tab w:val="clear" w:pos="720"/>
          <w:tab w:val="left" w:pos="-720" w:leader="none"/>
        </w:tabs>
        <w:suppressAutoHyphens w:val="true"/>
        <w:spacing w:before="0" w:after="240"/>
        <w:jc w:val="both"/>
        <w:rPr/>
      </w:pPr>
      <w:r>
        <w:rPr>
          <w:sz w:val="22"/>
        </w:rPr>
        <w:tab/>
        <w:tab/>
        <w:t>(c)</w:t>
        <w:tab/>
      </w:r>
      <w:r>
        <w:rPr>
          <w:sz w:val="22"/>
          <w:u w:val="single"/>
        </w:rPr>
        <w:t>Determination of Items Comprising Allocations</w:t>
      </w:r>
      <w:r>
        <w:rPr>
          <w:sz w:val="22"/>
        </w:rPr>
        <w:t>.</w:t>
      </w:r>
    </w:p>
    <w:p>
      <w:pPr>
        <w:pStyle w:val="Normal"/>
        <w:keepLines/>
        <w:tabs>
          <w:tab w:val="clear" w:pos="720"/>
          <w:tab w:val="left" w:pos="-720" w:leader="none"/>
        </w:tabs>
        <w:suppressAutoHyphens w:val="true"/>
        <w:spacing w:before="0" w:after="240"/>
        <w:jc w:val="both"/>
        <w:rPr>
          <w:sz w:val="22"/>
        </w:rPr>
      </w:pPr>
      <w:r>
        <w:rPr>
          <w:sz w:val="22"/>
        </w:rPr>
        <w:tab/>
        <w:tab/>
        <w:tab/>
        <w:t>(i)</w:t>
        <w:tab/>
        <w:t>In the event that the Partnership has Net Income for a Fiscal Year,</w:t>
      </w:r>
    </w:p>
    <w:p>
      <w:pPr>
        <w:pStyle w:val="StandardL4"/>
        <w:numPr>
          <w:ilvl w:val="3"/>
          <w:numId w:val="14"/>
        </w:numPr>
        <w:tabs>
          <w:tab w:val="clear" w:pos="360"/>
          <w:tab w:val="left" w:pos="2520" w:leader="none"/>
        </w:tabs>
        <w:ind w:firstLine="2880" w:start="0" w:end="0"/>
        <w:rPr>
          <w:sz w:val="22"/>
        </w:rPr>
      </w:pPr>
      <w:r>
        <w:rPr>
          <w:sz w:val="22"/>
        </w:rPr>
        <w:t>for any Partner as to whom the allocation pursuant to Section 5.2(b) would reduce its Capital Account, such allocation shall be comprised of a proportionate share of each of the Partnership’s items of expense or loss entering into the computation of Net Income for such Fiscal Year; and</w:t>
      </w:r>
    </w:p>
    <w:p>
      <w:pPr>
        <w:pStyle w:val="StandardL4"/>
        <w:numPr>
          <w:ilvl w:val="3"/>
          <w:numId w:val="14"/>
        </w:numPr>
        <w:tabs>
          <w:tab w:val="clear" w:pos="360"/>
          <w:tab w:val="left" w:pos="2520" w:leader="none"/>
        </w:tabs>
        <w:ind w:firstLine="2880" w:start="0" w:end="0"/>
        <w:rPr>
          <w:sz w:val="22"/>
        </w:rPr>
      </w:pPr>
      <w:r>
        <w:rPr>
          <w:sz w:val="22"/>
        </w:rPr>
        <w:t>the allocation pursuant to Section 5.2(b) in respect of each Partner (other than a Partner referred to in Section 5.2(c)(i)(A)) shall be comprised of a proportionate share of each Partnership item of income, gain, expense and loss entering into the computation of Net Income for such Fiscal Year (other than the portion of each Partnership item of expense and loss, if any, that is allocated pursuant to Section 5.2(c)(i)(A)).</w:t>
      </w:r>
    </w:p>
    <w:p>
      <w:pPr>
        <w:pStyle w:val="BodyText"/>
        <w:rPr>
          <w:sz w:val="22"/>
        </w:rPr>
      </w:pPr>
      <w:r>
        <w:rPr>
          <w:sz w:val="22"/>
        </w:rPr>
        <w:tab/>
        <w:t>(ii)</w:t>
        <w:tab/>
        <w:t>In the event that the Partnership has a Net Loss for a Fiscal Year,</w:t>
      </w:r>
    </w:p>
    <w:p>
      <w:pPr>
        <w:pStyle w:val="BodyText"/>
        <w:rPr>
          <w:sz w:val="22"/>
        </w:rPr>
      </w:pPr>
      <w:r>
        <w:rPr>
          <w:sz w:val="22"/>
        </w:rPr>
        <w:tab/>
        <w:tab/>
        <w:t>(A)</w:t>
        <w:tab/>
        <w:t>for any Partner as to whom the allocation pursuant to Section 5.2(b) would increase its Capital Account, such allocation shall be comprised of a proportionate share of each of the Partnership’s items of income and gain entering into the computation of Net Loss for such Fiscal Year; and</w:t>
      </w:r>
    </w:p>
    <w:p>
      <w:pPr>
        <w:pStyle w:val="BodyText"/>
        <w:rPr>
          <w:sz w:val="22"/>
        </w:rPr>
      </w:pPr>
      <w:r>
        <w:rPr>
          <w:sz w:val="22"/>
        </w:rPr>
        <w:tab/>
        <w:tab/>
        <w:t>(B)</w:t>
        <w:tab/>
        <w:t>the allocation pursuant to Section 5.2(b) in respect of each Partner (other than a Partner referred to in Section 5.2(c)(ii)(A)) shall be comprised of a proportionate share of each Partnership item of income, gain, expense and loss entering into the computation of Net Loss for such Fiscal Year (other than the portion of each Partnership item of income and gain, if any, that is allocated pursuant to Section 5.2(c)(ii)(A)).</w:t>
      </w:r>
    </w:p>
    <w:p>
      <w:pPr>
        <w:pStyle w:val="BodyText"/>
        <w:rPr/>
      </w:pPr>
      <w:r>
        <w:rPr>
          <w:sz w:val="22"/>
        </w:rPr>
        <w:t>(d)</w:t>
        <w:tab/>
      </w:r>
      <w:r>
        <w:rPr>
          <w:sz w:val="22"/>
          <w:u w:val="single"/>
        </w:rPr>
        <w:t>Loss Limitation</w:t>
      </w:r>
      <w:r>
        <w:rPr>
          <w:sz w:val="22"/>
        </w:rPr>
        <w:t>.  Notwithstanding anything to the contrary in Section 5.2(a), 5.2(b) or 5.2(c), the amount of items of Partnership expense and loss allocated pursuant to Section 5.2(a), 5.2(b) or 5.2(c) to any Partner shall not exceed the maximum amount of such items that can be so allocated without causing such Partner (other than a General Partner) to have an Adjusted Capital Account Deficit at the end of any Fiscal Year. All such items in excess of the limitation set forth in this Section 5.2(d) shall be allocated first to Partners who would not have an Adjusted Capital Account Deficit, pro rata, until no Partner would be entitled to any further allocation, and thereafter to the General Partner.</w:t>
      </w:r>
    </w:p>
    <w:p>
      <w:pPr>
        <w:pStyle w:val="BodyText"/>
        <w:rPr/>
      </w:pPr>
      <w:r>
        <w:rPr>
          <w:sz w:val="22"/>
        </w:rPr>
        <w:t>(e)</w:t>
        <w:tab/>
      </w:r>
      <w:r>
        <w:rPr>
          <w:sz w:val="22"/>
          <w:u w:val="single"/>
        </w:rPr>
        <w:t>Special Allocations</w:t>
      </w:r>
      <w:r>
        <w:rPr>
          <w:sz w:val="22"/>
        </w:rPr>
        <w:t>.</w:t>
      </w:r>
      <w:r>
        <w:rPr>
          <w:b/>
          <w:sz w:val="22"/>
        </w:rPr>
        <w:t xml:space="preserve"> </w:t>
      </w:r>
      <w:r>
        <w:rPr>
          <w:sz w:val="22"/>
        </w:rPr>
        <w:t>The following special allocations shall be made in the following order:</w:t>
      </w:r>
    </w:p>
    <w:p>
      <w:pPr>
        <w:pStyle w:val="BodyText"/>
        <w:rPr/>
      </w:pPr>
      <w:r>
        <w:rPr>
          <w:sz w:val="22"/>
        </w:rPr>
        <w:tab/>
        <w:t>(i)</w:t>
        <w:tab/>
      </w:r>
      <w:r>
        <w:rPr>
          <w:sz w:val="22"/>
          <w:u w:val="single"/>
        </w:rPr>
        <w:t>Minimum Gain Chargeback</w:t>
      </w:r>
      <w:r>
        <w:rPr>
          <w:sz w:val="22"/>
        </w:rPr>
        <w:t>.  In the event that there is a net decrease during a Fiscal Year in either Partnership Minimum Gain or Partner Nonrecourse Debt Minimum Gain, then notwithstanding any other provision of this Section 5.2, each Partner shall receive such special allocations of items of Partnership income and gain as are required in order to conform to Regulation Section 1.704</w:t>
        <w:noBreakHyphen/>
        <w:t>2;</w:t>
      </w:r>
    </w:p>
    <w:p>
      <w:pPr>
        <w:pStyle w:val="BodyText"/>
        <w:rPr/>
      </w:pPr>
      <w:r>
        <w:rPr>
          <w:b/>
          <w:sz w:val="22"/>
        </w:rPr>
        <w:tab/>
      </w:r>
      <w:r>
        <w:rPr>
          <w:sz w:val="22"/>
        </w:rPr>
        <w:t>(ii)</w:t>
        <w:tab/>
      </w:r>
      <w:r>
        <w:rPr>
          <w:sz w:val="22"/>
          <w:u w:val="single"/>
        </w:rPr>
        <w:t>Qualified Income Offset</w:t>
      </w:r>
      <w:r>
        <w:rPr>
          <w:sz w:val="22"/>
        </w:rPr>
        <w:t>.  Subject to Section 5.2(e)(i), but notwithstanding any other provision of this Section 5.2, items of income and gain shall be specially allocated to the Partners in a manner that complies with the “qualified income offset” requirement of Regulation Section 1.704</w:t>
        <w:noBreakHyphen/>
        <w:t>1(b)(2)(ii)</w:t>
      </w:r>
      <w:r>
        <w:rPr>
          <w:i/>
          <w:sz w:val="22"/>
        </w:rPr>
        <w:t>(d)(3)</w:t>
      </w:r>
      <w:r>
        <w:rPr>
          <w:sz w:val="22"/>
        </w:rPr>
        <w:t>.</w:t>
      </w:r>
    </w:p>
    <w:p>
      <w:pPr>
        <w:pStyle w:val="BodyText"/>
        <w:rPr/>
      </w:pPr>
      <w:r>
        <w:rPr>
          <w:sz w:val="22"/>
        </w:rPr>
        <w:tab/>
        <w:t>(iii)</w:t>
        <w:tab/>
      </w:r>
      <w:r>
        <w:rPr>
          <w:sz w:val="22"/>
          <w:u w:val="single"/>
        </w:rPr>
        <w:t>Deficit Capital Accounts Generally</w:t>
      </w:r>
      <w:r>
        <w:rPr>
          <w:sz w:val="22"/>
        </w:rPr>
        <w:t>.  In the event that a Partner has a deficit Capital Account balance at the end of any Fiscal Year which is in excess of the sum of (x) the amount such Partner is then obligated to restore pursuant to this Agreement, and (y) the amount such Partner is then deemed to be obligated to restore pursuant to the penultimate sentences of Regulation Sections 1.704</w:t>
        <w:noBreakHyphen/>
        <w:t>2(g)(1) and 1.704</w:t>
        <w:noBreakHyphen/>
        <w:t>2(i)(5), respectively, such Partner shall be specially allocated items of Partnership income and gain in an amount of such excess as quickly as possible, provided, however, that any allocation under this Section 5.2(e)(iii) shall be made only if and to the extent that a Partner would have a deficit Capital Account balance in excess of such sum after all allocations provided for in this Section 5.2 have been tentatively made as if this Section 5.2(e)(iii) were not in this Agreement.</w:t>
      </w:r>
    </w:p>
    <w:p>
      <w:pPr>
        <w:pStyle w:val="BodyText"/>
        <w:rPr/>
      </w:pPr>
      <w:r>
        <w:rPr>
          <w:sz w:val="22"/>
        </w:rPr>
        <w:tab/>
        <w:t>(iv)</w:t>
        <w:tab/>
      </w:r>
      <w:r>
        <w:rPr>
          <w:sz w:val="22"/>
          <w:u w:val="single"/>
        </w:rPr>
        <w:t>Deductions Attributable to Partner Nonrecourse Debt</w:t>
      </w:r>
      <w:r>
        <w:rPr>
          <w:sz w:val="22"/>
        </w:rPr>
        <w:t>.  Any item of Partnership loss or expense that is attributable to Partner Nonrecourse Debt shall be specially allocated to the Partners in the manner in which they share the economic risk of loss (as defined in Regulation Section 1.752</w:t>
        <w:noBreakHyphen/>
        <w:t xml:space="preserve">2) for such Partner Nonrecourse Debt.  </w:t>
      </w:r>
    </w:p>
    <w:p>
      <w:pPr>
        <w:pStyle w:val="BodyText"/>
        <w:rPr/>
      </w:pPr>
      <w:r>
        <w:rPr>
          <w:sz w:val="22"/>
        </w:rPr>
        <w:tab/>
        <w:t>(v)</w:t>
        <w:tab/>
      </w:r>
      <w:r>
        <w:rPr>
          <w:sz w:val="22"/>
          <w:u w:val="single"/>
        </w:rPr>
        <w:t>Allocation of Nonrecourse Deductions</w:t>
      </w:r>
      <w:r>
        <w:rPr>
          <w:sz w:val="22"/>
        </w:rPr>
        <w:t>.  Each Nonrecourse Deduction of the Partnership shall be specially allocated [___] to the General Partner and [___] to all of the Partners in proportion to their [_________________].</w:t>
      </w:r>
    </w:p>
    <w:p>
      <w:pPr>
        <w:pStyle w:val="BodyText"/>
        <w:ind w:hanging="0" w:end="0"/>
        <w:rPr>
          <w:sz w:val="22"/>
        </w:rPr>
      </w:pPr>
      <w:r>
        <w:rPr>
          <w:sz w:val="22"/>
        </w:rPr>
        <w:t>The allocations pursuant to Section 5.2(e)(i), (ii) and (iii) shall be comprised of a proportionate share of each of the Partnership’s items of income and gain.  The amounts of any Partnership income, gain, loss or deduction available to be specially allocated pursuant to this Section 5.2(e) shall be determined by applying rules analogous to those set forth in subparagraphs (i) through (v) of the definition of Net Income and Net Loss.</w:t>
      </w:r>
    </w:p>
    <w:p>
      <w:pPr>
        <w:pStyle w:val="BodyText"/>
        <w:ind w:hanging="0" w:end="0"/>
        <w:rPr/>
      </w:pPr>
      <w:r>
        <w:rPr>
          <w:sz w:val="22"/>
        </w:rPr>
        <w:tab/>
        <w:tab/>
        <w:t>(f)</w:t>
        <w:tab/>
      </w:r>
      <w:r>
        <w:rPr>
          <w:sz w:val="22"/>
          <w:u w:val="single"/>
        </w:rPr>
        <w:t>Allocation of Nonrecourse Liabilities</w:t>
      </w:r>
      <w:r>
        <w:rPr>
          <w:sz w:val="22"/>
        </w:rPr>
        <w:t>.</w:t>
      </w:r>
      <w:r>
        <w:rPr>
          <w:b/>
          <w:sz w:val="22"/>
        </w:rPr>
        <w:t xml:space="preserve"> </w:t>
      </w:r>
      <w:r>
        <w:rPr>
          <w:sz w:val="22"/>
        </w:rPr>
        <w:t>For purposes of determining each Partner’s share of Nonrecourse Liabilities, if any, of the Partnership in accordance with Regulation Section 1.752</w:t>
        <w:noBreakHyphen/>
        <w:t>3(a)(3), the Partners’ interests in Partnership profits shall be determined in the same manner as prescribed by Section 5.2(e)(v).</w:t>
      </w:r>
    </w:p>
    <w:p>
      <w:pPr>
        <w:pStyle w:val="BodyText"/>
        <w:ind w:hanging="0" w:end="0"/>
        <w:rPr/>
      </w:pPr>
      <w:r>
        <w:rPr>
          <w:sz w:val="22"/>
        </w:rPr>
        <w:tab/>
        <w:tab/>
        <w:t>(g)</w:t>
        <w:tab/>
      </w:r>
      <w:r>
        <w:rPr>
          <w:sz w:val="22"/>
          <w:u w:val="single"/>
        </w:rPr>
        <w:t>Transfer of Interest</w:t>
      </w:r>
      <w:r>
        <w:rPr>
          <w:sz w:val="22"/>
        </w:rPr>
        <w:t>.</w:t>
      </w:r>
      <w:r>
        <w:rPr>
          <w:b/>
          <w:sz w:val="22"/>
        </w:rPr>
        <w:t xml:space="preserve"> </w:t>
      </w:r>
      <w:r>
        <w:rPr>
          <w:sz w:val="22"/>
        </w:rPr>
        <w:t>In the event of a Transfer of all or part of an interest in the Partnership (in accordance with the provisions of this Agreement) at any time other than the end of a Fiscal Year, or the admission of an additional Limited Partner the shares of items of Net Income or Net Loss and specially allocated items allocable to the interest Transferred shall be allocated between the Transferor and the Transferee in a manner determined by the General Partner in its sole discretion that is not inconsistent with the applicable provisions of the Code and Regulations.</w:t>
      </w:r>
    </w:p>
    <w:p>
      <w:pPr>
        <w:pStyle w:val="BodyText"/>
        <w:ind w:hanging="0" w:end="0"/>
        <w:rPr>
          <w:sz w:val="22"/>
        </w:rPr>
      </w:pPr>
      <w:r>
        <w:rPr>
          <w:sz w:val="22"/>
        </w:rPr>
        <w:tab/>
        <w:tab/>
        <w:t>(h)</w:t>
        <w:tab/>
      </w:r>
      <w:r>
        <w:rPr>
          <w:sz w:val="22"/>
          <w:u w:val="single"/>
        </w:rPr>
        <w:t>Tax Allocations</w:t>
      </w:r>
    </w:p>
    <w:p>
      <w:pPr>
        <w:pStyle w:val="BodyText"/>
        <w:ind w:hanging="0" w:end="0"/>
        <w:rPr/>
      </w:pPr>
      <w:r>
        <w:rPr>
          <w:sz w:val="22"/>
        </w:rPr>
        <w:tab/>
        <w:tab/>
        <w:tab/>
        <w:t>(i)</w:t>
        <w:tab/>
      </w:r>
      <w:r>
        <w:rPr>
          <w:sz w:val="22"/>
          <w:u w:val="single"/>
        </w:rPr>
        <w:t>Section 704(b) Allocations</w:t>
      </w:r>
      <w:r>
        <w:rPr>
          <w:sz w:val="22"/>
        </w:rPr>
        <w:t>.</w:t>
      </w:r>
    </w:p>
    <w:p>
      <w:pPr>
        <w:pStyle w:val="BodyText"/>
        <w:ind w:hanging="0" w:end="0"/>
        <w:rPr>
          <w:sz w:val="22"/>
        </w:rPr>
      </w:pPr>
      <w:r>
        <w:rPr>
          <w:sz w:val="22"/>
        </w:rPr>
        <w:tab/>
        <w:tab/>
        <w:tab/>
        <w:tab/>
        <w:t>(A)</w:t>
        <w:tab/>
        <w:t>Each item of income, gain, loss, or deduction for federal income tax purposes that corresponds to an item of income, gain, loss or expense that is either taken into account in computing Net Income or Net Loss or is specially allocated pursuant to Section 5.2(e) (a “Book Item”) shall be allocated among the Partners in the same proportion as the corresponding Book Item is allocated among them pursuant to Section 5.2(b) or Section 5.2(e) hereof.</w:t>
      </w:r>
    </w:p>
    <w:p>
      <w:pPr>
        <w:pStyle w:val="BodyText"/>
        <w:ind w:hanging="0" w:end="0"/>
        <w:rPr>
          <w:sz w:val="22"/>
        </w:rPr>
      </w:pPr>
      <w:r>
        <w:rPr>
          <w:sz w:val="22"/>
        </w:rPr>
        <w:tab/>
        <w:tab/>
        <w:tab/>
        <w:tab/>
        <w:t>(B)</w:t>
        <w:tab/>
        <w:t>If the Partnership recognizes Depreciation Recapture (as defined below) in respect of the sale of any Partnership asset,</w:t>
      </w:r>
    </w:p>
    <w:p>
      <w:pPr>
        <w:pStyle w:val="BodyText"/>
        <w:ind w:hanging="0" w:end="0"/>
        <w:rPr>
          <w:sz w:val="22"/>
        </w:rPr>
      </w:pPr>
      <w:r>
        <w:rPr>
          <w:sz w:val="22"/>
        </w:rPr>
        <w:tab/>
        <w:tab/>
        <w:tab/>
        <w:tab/>
        <w:tab/>
        <w:t>(1)</w:t>
        <w:tab/>
        <w:t>the portion of the gain on such sale which is allocated to a Partner pursuant to Section 5.2(b) or Section 5.2(e) hereof shall be treated as consisting of a portion of the Partnership’s Depreciation Recapture on the sale and a portion of the balance of the Partnership’s remaining gain on such sale under principles consistent with Regulations Section 1.1245</w:t>
        <w:noBreakHyphen/>
        <w:t>1, and</w:t>
      </w:r>
    </w:p>
    <w:p>
      <w:pPr>
        <w:pStyle w:val="BodyText"/>
        <w:ind w:hanging="0" w:end="0"/>
        <w:rPr>
          <w:sz w:val="22"/>
        </w:rPr>
      </w:pPr>
      <w:r>
        <w:rPr>
          <w:sz w:val="22"/>
        </w:rPr>
        <w:tab/>
        <w:tab/>
        <w:tab/>
        <w:tab/>
        <w:tab/>
        <w:t>(2)</w:t>
        <w:tab/>
        <w:t>if, for federal income tax purposes, the Partnership recognizes both “unrecaptured Section 1250 gain” (as defined in Section 1(h) of the Code) and gain treated as ordinary income under Section 1250(a) of the Code in respect of such sale, the amount treated as Depreciation Recapture under Section 5.2(h)(i)(B)(1) shall be comprised of a proportionate share of both such types of gain.</w:t>
      </w:r>
    </w:p>
    <w:p>
      <w:pPr>
        <w:pStyle w:val="BodyText"/>
        <w:ind w:hanging="0" w:end="0"/>
        <w:rPr>
          <w:sz w:val="22"/>
        </w:rPr>
      </w:pPr>
      <w:r>
        <w:rPr>
          <w:sz w:val="22"/>
        </w:rPr>
        <w:tab/>
        <w:tab/>
        <w:tab/>
        <w:tab/>
        <w:t>(C)</w:t>
        <w:tab/>
        <w:t>For purposes of this Section 5.2(h)(i) “Depreciation Recapture” means the portion of any gain from the disposition of an asset of the Partnership which, for federal income tax purposes, (a) is treated as ordinary income under Section 1245 of the Code, (b) is treated as ordinary income under Section 1250 of the Code, or (c) is “unrecaptured Section 1250 gain” as such term is defined in Section 1(h) of the Code.</w:t>
      </w:r>
    </w:p>
    <w:p>
      <w:pPr>
        <w:pStyle w:val="BodyText"/>
        <w:ind w:hanging="0" w:end="0"/>
        <w:rPr/>
      </w:pPr>
      <w:r>
        <w:rPr>
          <w:sz w:val="22"/>
        </w:rPr>
        <w:tab/>
        <w:tab/>
        <w:tab/>
        <w:t>(ii)</w:t>
        <w:tab/>
      </w:r>
      <w:r>
        <w:rPr>
          <w:sz w:val="22"/>
          <w:u w:val="single"/>
        </w:rPr>
        <w:t>Section 704(c) Allocations</w:t>
      </w:r>
      <w:r>
        <w:rPr>
          <w:sz w:val="22"/>
        </w:rPr>
        <w:t>. In the event any property of the Partnership is credited to the Capital Account of a Partner at a value other than its tax basis (whether as a result of a contribution of such property or a revaluation of such property pursuant to subdivision (ii) of the definition of “Gross Asset Value” in Section 1.6 of this Agreement), then allocations of taxable income, gain, loss and deductions with respect to such property shall be made in a manner which will comply with Section 704(b) and Section 704(c) of the Code and the Regulations thereunder. For purposes of the preceding sentence, the Partnership shall use the “traditional method” as described in Regulations Section 1.704-3(b).</w:t>
      </w:r>
    </w:p>
    <w:p>
      <w:pPr>
        <w:pStyle w:val="BodyText"/>
        <w:ind w:hanging="0" w:end="0"/>
        <w:rPr/>
      </w:pPr>
      <w:r>
        <w:rPr>
          <w:sz w:val="22"/>
        </w:rPr>
        <w:tab/>
        <w:tab/>
        <w:tab/>
        <w:t>(iii)</w:t>
        <w:tab/>
      </w:r>
      <w:r>
        <w:rPr>
          <w:sz w:val="22"/>
          <w:u w:val="single"/>
        </w:rPr>
        <w:t>Tax Items Allocable to Particular Partners</w:t>
      </w:r>
      <w:r>
        <w:rPr>
          <w:sz w:val="22"/>
        </w:rPr>
        <w:t>.</w:t>
      </w:r>
      <w:r>
        <w:rPr>
          <w:b/>
          <w:sz w:val="22"/>
        </w:rPr>
        <w:t xml:space="preserve">  </w:t>
      </w:r>
      <w:r>
        <w:rPr>
          <w:sz w:val="22"/>
        </w:rPr>
        <w:t xml:space="preserve">If the Partnership is required to recognize income, gain, deduction, or loss for tax purposes that is attributable to a particular Partner, such items shall be allocated to such Partner.  </w:t>
      </w:r>
    </w:p>
    <w:p>
      <w:pPr>
        <w:pStyle w:val="BodyText"/>
        <w:ind w:hanging="0" w:end="0"/>
        <w:rPr/>
      </w:pPr>
      <w:r>
        <w:rPr>
          <w:sz w:val="22"/>
        </w:rPr>
        <w:tab/>
        <w:tab/>
        <w:tab/>
        <w:t>(iv)</w:t>
        <w:tab/>
      </w:r>
      <w:r>
        <w:rPr>
          <w:sz w:val="22"/>
          <w:u w:val="single"/>
        </w:rPr>
        <w:t>Credits</w:t>
      </w:r>
      <w:r>
        <w:rPr>
          <w:sz w:val="22"/>
        </w:rPr>
        <w:t>. All tax credits shall be allocated among the Partners as determined by the General Partner in its sole and absolute discretion, consistent with applicable law.</w:t>
      </w:r>
    </w:p>
    <w:p>
      <w:pPr>
        <w:pStyle w:val="Normal"/>
        <w:keepLines/>
        <w:tabs>
          <w:tab w:val="clear" w:pos="720"/>
          <w:tab w:val="left" w:pos="-720" w:leader="none"/>
        </w:tabs>
        <w:suppressAutoHyphens w:val="true"/>
        <w:spacing w:before="0" w:after="240"/>
        <w:jc w:val="both"/>
        <w:rPr>
          <w:sz w:val="22"/>
        </w:rPr>
      </w:pPr>
      <w:r>
        <w:rPr>
          <w:sz w:val="22"/>
        </w:rPr>
        <w:t>The tax allocations made pursuant to this Section 5.2(h) shall be solely for tax purposes and shall not affect any Partner’s Capital Account or share of non-tax allocations or distributions under this Agreement.</w:t>
      </w:r>
    </w:p>
    <w:p>
      <w:pPr>
        <w:pStyle w:val="Normal"/>
        <w:keepNext w:val="true"/>
        <w:numPr>
          <w:ilvl w:val="0"/>
          <w:numId w:val="0"/>
        </w:numPr>
        <w:tabs>
          <w:tab w:val="clear" w:pos="720"/>
          <w:tab w:val="left" w:pos="-720" w:leader="none"/>
        </w:tabs>
        <w:suppressAutoHyphens w:val="true"/>
        <w:jc w:val="center"/>
        <w:outlineLvl w:val="0"/>
        <w:rPr>
          <w:sz w:val="22"/>
        </w:rPr>
      </w:pPr>
      <w:r>
        <w:rPr>
          <w:sz w:val="22"/>
        </w:rPr>
        <w:t>ARTICLE VI</w:t>
      </w:r>
    </w:p>
    <w:p>
      <w:pPr>
        <w:pStyle w:val="Heading1"/>
        <w:spacing w:before="0" w:after="240"/>
        <w:ind w:hanging="0" w:start="0"/>
        <w:jc w:val="center"/>
        <w:rPr>
          <w:b w:val="false"/>
          <w:sz w:val="22"/>
          <w:u w:val="single"/>
        </w:rPr>
      </w:pPr>
      <w:r>
        <w:rPr>
          <w:b w:val="false"/>
          <w:sz w:val="22"/>
          <w:u w:val="single"/>
        </w:rPr>
        <w:t>Transfers and Withdrawals</w:t>
      </w:r>
    </w:p>
    <w:p>
      <w:pPr>
        <w:pStyle w:val="Normal"/>
        <w:keepNext w:val="true"/>
        <w:tabs>
          <w:tab w:val="clear" w:pos="720"/>
          <w:tab w:val="left" w:pos="-720" w:leader="none"/>
        </w:tabs>
        <w:suppressAutoHyphens w:val="true"/>
        <w:spacing w:before="0" w:after="240"/>
        <w:jc w:val="both"/>
        <w:rPr/>
      </w:pPr>
      <w:r>
        <w:rPr>
          <w:sz w:val="22"/>
        </w:rPr>
        <w:tab/>
        <w:t>6.1</w:t>
        <w:tab/>
      </w:r>
      <w:r>
        <w:rPr>
          <w:sz w:val="22"/>
          <w:u w:val="single"/>
        </w:rPr>
        <w:t>Restriction on Transfer</w:t>
      </w:r>
      <w:r>
        <w:rPr>
          <w:sz w:val="22"/>
        </w:rPr>
        <w:t>.</w:t>
      </w:r>
    </w:p>
    <w:p>
      <w:pPr>
        <w:pStyle w:val="Normal"/>
        <w:keepNext w:val="true"/>
        <w:tabs>
          <w:tab w:val="clear" w:pos="720"/>
          <w:tab w:val="left" w:pos="-720" w:leader="none"/>
        </w:tabs>
        <w:suppressAutoHyphens w:val="true"/>
        <w:spacing w:before="0" w:after="240"/>
        <w:ind w:firstLine="720" w:start="720" w:end="0"/>
        <w:jc w:val="both"/>
        <w:rPr>
          <w:sz w:val="22"/>
        </w:rPr>
      </w:pPr>
      <w:r>
        <w:rPr>
          <w:sz w:val="22"/>
        </w:rPr>
        <w:t>(a)</w:t>
        <w:tab/>
        <w:t>No Partner shall be permitted to Transfer interests in the Partnership except in accordance with this Article VI.</w:t>
      </w:r>
    </w:p>
    <w:p>
      <w:pPr>
        <w:pStyle w:val="Normal"/>
        <w:keepNext w:val="true"/>
        <w:tabs>
          <w:tab w:val="clear" w:pos="720"/>
          <w:tab w:val="left" w:pos="-720" w:leader="none"/>
        </w:tabs>
        <w:suppressAutoHyphens w:val="true"/>
        <w:spacing w:before="0" w:after="240"/>
        <w:ind w:firstLine="720" w:start="720" w:end="0"/>
        <w:jc w:val="both"/>
        <w:rPr/>
      </w:pPr>
      <w:r>
        <w:rPr>
          <w:sz w:val="22"/>
        </w:rPr>
        <w:t>(b)</w:t>
        <w:tab/>
        <w:t xml:space="preserve">Other than Transfers by a Limited Partner (i) pursuant to a Put Option or Call Option in accordance with Section 3.5 hereof, (ii) in connection with a Tag-Along Right or Bring-Along Right in accordance with Section 6.2 hereof or (iii) to a liquidating trust approved by the Bankruptcy Court, no Limited Partner shall Transfer any interest in the Partnership, and any such attempted Transfer shall be void </w:t>
      </w:r>
      <w:r>
        <w:rPr>
          <w:i/>
          <w:sz w:val="22"/>
        </w:rPr>
        <w:t>ab initio</w:t>
      </w:r>
      <w:r>
        <w:rPr>
          <w:sz w:val="22"/>
        </w:rPr>
        <w:t>.</w:t>
      </w:r>
    </w:p>
    <w:p>
      <w:pPr>
        <w:pStyle w:val="Normal"/>
        <w:keepNext w:val="true"/>
        <w:tabs>
          <w:tab w:val="clear" w:pos="720"/>
          <w:tab w:val="left" w:pos="-720" w:leader="none"/>
        </w:tabs>
        <w:suppressAutoHyphens w:val="true"/>
        <w:spacing w:before="0" w:after="240"/>
        <w:ind w:firstLine="720" w:start="720" w:end="0"/>
        <w:jc w:val="both"/>
        <w:rPr/>
      </w:pPr>
      <w:r>
        <w:rPr>
          <w:sz w:val="22"/>
        </w:rPr>
        <w:t>(c)</w:t>
        <w:tab/>
        <w:t>The General Partner may only Transfer all (but not less than all) of such General Partner's Percentage Interest in the Partnership (the "</w:t>
      </w:r>
      <w:r>
        <w:rPr>
          <w:sz w:val="22"/>
          <w:u w:val="single"/>
        </w:rPr>
        <w:t>Offered Interests</w:t>
      </w:r>
      <w:r>
        <w:rPr>
          <w:sz w:val="22"/>
        </w:rPr>
        <w:t xml:space="preserve">") to a third party pursuant to a Bona Fide Offer (as hereinafter defined); </w:t>
      </w:r>
      <w:r>
        <w:rPr>
          <w:i/>
          <w:sz w:val="22"/>
        </w:rPr>
        <w:t>provided</w:t>
      </w:r>
      <w:r>
        <w:rPr>
          <w:sz w:val="22"/>
        </w:rPr>
        <w:t>, that the General Partner complies with the provisions of Section 6.2 hereof in connection therewith.  “</w:t>
      </w:r>
      <w:r>
        <w:rPr>
          <w:sz w:val="22"/>
          <w:u w:val="single"/>
        </w:rPr>
        <w:t>Bona Fide Offer</w:t>
      </w:r>
      <w:r>
        <w:rPr>
          <w:sz w:val="22"/>
        </w:rPr>
        <w:t>” means an offer by a third party (other than an Affiliate of the General Partner) to purchase the Offered Interests made in writing, signed by an offeror that the General Partner reasonably believes is financially able to consummate the purchase, stating the price and type of consideration to be paid therefor (which may be cash or obligations to pay cash only) and any other relevant terms and conditions of the purchase.</w:t>
      </w:r>
    </w:p>
    <w:p>
      <w:pPr>
        <w:pStyle w:val="Normal"/>
        <w:numPr>
          <w:ilvl w:val="0"/>
          <w:numId w:val="0"/>
        </w:numPr>
        <w:tabs>
          <w:tab w:val="clear" w:pos="720"/>
          <w:tab w:val="left" w:pos="-720" w:leader="none"/>
        </w:tabs>
        <w:suppressAutoHyphens w:val="true"/>
        <w:spacing w:before="0" w:after="240"/>
        <w:jc w:val="both"/>
        <w:outlineLvl w:val="0"/>
        <w:rPr/>
      </w:pPr>
      <w:r>
        <w:rPr>
          <w:sz w:val="22"/>
        </w:rPr>
        <w:tab/>
        <w:t>6.2</w:t>
        <w:tab/>
      </w:r>
      <w:r>
        <w:rPr>
          <w:sz w:val="22"/>
          <w:u w:val="single"/>
        </w:rPr>
        <w:t>Tag-Along Rights; Bring-Along Rights</w:t>
      </w:r>
      <w:r>
        <w:rPr>
          <w:sz w:val="22"/>
        </w:rPr>
        <w:t>.</w:t>
      </w:r>
    </w:p>
    <w:p>
      <w:pPr>
        <w:pStyle w:val="Normal"/>
        <w:tabs>
          <w:tab w:val="clear" w:pos="720"/>
          <w:tab w:val="left" w:pos="-720" w:leader="none"/>
        </w:tabs>
        <w:suppressAutoHyphens w:val="true"/>
        <w:spacing w:before="0" w:after="240"/>
        <w:ind w:start="720" w:end="0"/>
        <w:jc w:val="both"/>
        <w:rPr/>
      </w:pPr>
      <w:r>
        <w:rPr>
          <w:sz w:val="22"/>
        </w:rPr>
        <w:tab/>
        <w:t>(a)</w:t>
        <w:tab/>
        <w:t>If the General Partner wishes to Transfer all (but not less than all) of the Offered Interests to a third party pursuant to a Bona Fide Offer received by the General Partner, the General Partner shall give written notice to the Limited Partners (the “</w:t>
      </w:r>
      <w:r>
        <w:rPr>
          <w:sz w:val="22"/>
          <w:u w:val="single"/>
        </w:rPr>
        <w:t>Tag</w:t>
        <w:noBreakHyphen/>
        <w:t>Along Notice</w:t>
      </w:r>
      <w:r>
        <w:rPr>
          <w:sz w:val="22"/>
        </w:rPr>
        <w:t>”) granting to each of the Limited Partners the right (the “</w:t>
      </w:r>
      <w:r>
        <w:rPr>
          <w:sz w:val="22"/>
          <w:u w:val="single"/>
        </w:rPr>
        <w:t>Tag</w:t>
        <w:noBreakHyphen/>
        <w:t>Along Right</w:t>
      </w:r>
      <w:r>
        <w:rPr>
          <w:sz w:val="22"/>
        </w:rPr>
        <w:t xml:space="preserve">”) to participate in such Transfer on the same terms and conditions in the Bona Fide Offer.  If the proposed Transferee is not willing to purchase all of the Percentage Interests which the Limited Partners are proposing to sell pursuant to this Section 6.2, then the General Partner may not proceed with such sale unless the Limited Partners consent.   A Limited Partner electing to exercise its Tag-Along Right shall notify the General Partner of its election in a written notice given within five (5) business days after receipt of the Tag-Along Notice; </w:t>
      </w:r>
      <w:r>
        <w:rPr>
          <w:i/>
          <w:sz w:val="22"/>
        </w:rPr>
        <w:t>provided</w:t>
      </w:r>
      <w:r>
        <w:rPr>
          <w:sz w:val="22"/>
        </w:rPr>
        <w:t>, that for so long as any Partner must request and obtain approval from a United States Bankruptcy Court in order to deliver such notice, such period shall be extended until five (5) business days after receipt of Court approval for the delivery of such notice.  Upon a waiver of the Tag-Along Right with respect to a Bona Fide Offer, the General Partner shall be entitled to sell its Offered Interest on the terms and conditions of such Bona Fide Offer for a period of [ninety (90)] days following the date the Tag-Along Right was deemed to have been waived.  After such [ninety (90)]-day period, the General Partner shall again be required to comply with the provisions of this Section 6.2(a).</w:t>
      </w:r>
    </w:p>
    <w:p>
      <w:pPr>
        <w:pStyle w:val="BodyTextIndent"/>
        <w:ind w:start="720" w:end="0"/>
        <w:jc w:val="both"/>
        <w:rPr/>
      </w:pPr>
      <w:r>
        <w:rPr>
          <w:sz w:val="22"/>
        </w:rPr>
        <w:tab/>
        <w:t>(b)</w:t>
        <w:tab/>
        <w:t>If, in connection with a sale by a General Partner in a Bona Fide Offer of the Offered Interests, the party purchasing the Offered Interests wishes to purchase 100% of the interests in the Partnership of the General Partner and 100% of the Percentage Interests of the Limited Partners (the interests in the Partnership of such other Partners being referred to as the “</w:t>
      </w:r>
      <w:r>
        <w:rPr>
          <w:sz w:val="22"/>
          <w:u w:val="single"/>
        </w:rPr>
        <w:t>Bring</w:t>
        <w:noBreakHyphen/>
        <w:t>Along Interests</w:t>
      </w:r>
      <w:r>
        <w:rPr>
          <w:sz w:val="22"/>
        </w:rPr>
        <w:t>”), then the General Partner shall have the right (the “</w:t>
      </w:r>
      <w:r>
        <w:rPr>
          <w:sz w:val="22"/>
          <w:u w:val="single"/>
        </w:rPr>
        <w:t>Bring</w:t>
        <w:noBreakHyphen/>
        <w:t>Along Right</w:t>
      </w:r>
      <w:r>
        <w:rPr>
          <w:sz w:val="22"/>
        </w:rPr>
        <w:t>”) to cause the Limited Partners to, and the Limited Partners shall be obligated to, Transfer their Bring-Along Interests to the purchaser on substantially similar terms and conditions as the General Partner (</w:t>
      </w:r>
      <w:r>
        <w:rPr>
          <w:sz w:val="22"/>
          <w:u w:val="single"/>
        </w:rPr>
        <w:t>provided</w:t>
      </w:r>
      <w:r>
        <w:rPr>
          <w:sz w:val="22"/>
        </w:rPr>
        <w:t xml:space="preserve"> that the Limited Partners shall not be required to make any representations to the purchaser other than a representation that they hold valid title to the Bring-Along Interests).</w:t>
      </w:r>
    </w:p>
    <w:p>
      <w:pPr>
        <w:pStyle w:val="BodyTextIndent"/>
        <w:ind w:start="720" w:end="0"/>
        <w:jc w:val="both"/>
        <w:rPr/>
      </w:pPr>
      <w:r>
        <w:rPr>
          <w:sz w:val="22"/>
        </w:rPr>
        <w:tab/>
        <w:t>(c)</w:t>
        <w:tab/>
        <w:t>The General Partner may exercise the Bring-Along Right by written notice (the “</w:t>
      </w:r>
      <w:r>
        <w:rPr>
          <w:sz w:val="22"/>
          <w:u w:val="single"/>
        </w:rPr>
        <w:t>Bring</w:t>
        <w:noBreakHyphen/>
        <w:t>Along Notice</w:t>
      </w:r>
      <w:r>
        <w:rPr>
          <w:sz w:val="22"/>
        </w:rPr>
        <w:t>”) to the Limited Partners.</w:t>
      </w:r>
    </w:p>
    <w:p>
      <w:pPr>
        <w:pStyle w:val="BodyTextIndent"/>
        <w:ind w:start="720" w:end="0"/>
        <w:jc w:val="both"/>
        <w:rPr/>
      </w:pPr>
      <w:r>
        <w:rPr>
          <w:sz w:val="22"/>
        </w:rPr>
        <w:tab/>
        <w:t>(d)</w:t>
        <w:tab/>
        <w:t xml:space="preserve">Not later than ten (10) days following receipt of the Bring-Along Notice, all of the Limited Partners shall execute and deliver to the General Partner any required instruments of Transfer necessary or reasonably requested by the General Partner to vest in the purchaser good and valid title to the interests in the Partnership required to be Transferred; </w:t>
      </w:r>
      <w:r>
        <w:rPr>
          <w:i/>
          <w:sz w:val="22"/>
        </w:rPr>
        <w:t>provided</w:t>
      </w:r>
      <w:r>
        <w:rPr>
          <w:sz w:val="22"/>
        </w:rPr>
        <w:t>,  that for so long as any Partner must request and obtain approval from a United States Bankruptcy Court in order to deliver such instruments of Transfer, such period shall be extended until five (5) business days after receipt of Court approval for the delivery of such instruments.  Without limiting any remedies of any Partner, if any Limited Partner fails to Transfer its interest in the Partnership, then the Partnership shall cause the books and records of the Partnership to show that such interests are bound by the provisions of this Section 6.2 and may only be Transferred to the third party purchaser upon surrender for Transfer by the holder thereof against payment therefor.</w:t>
      </w:r>
    </w:p>
    <w:p>
      <w:pPr>
        <w:pStyle w:val="Normal"/>
        <w:keepLines/>
        <w:tabs>
          <w:tab w:val="clear" w:pos="720"/>
          <w:tab w:val="left" w:pos="-720" w:leader="none"/>
        </w:tabs>
        <w:suppressAutoHyphens w:val="true"/>
        <w:spacing w:before="0" w:after="240"/>
        <w:jc w:val="both"/>
        <w:rPr/>
      </w:pPr>
      <w:r>
        <w:rPr>
          <w:sz w:val="22"/>
        </w:rPr>
        <w:tab/>
        <w:t>6.3</w:t>
        <w:tab/>
      </w:r>
      <w:r>
        <w:rPr>
          <w:sz w:val="22"/>
          <w:u w:val="single"/>
        </w:rPr>
        <w:t>Substituted Partners</w:t>
      </w:r>
      <w:r>
        <w:rPr>
          <w:sz w:val="22"/>
        </w:rPr>
        <w:t>.  A Transferee of any general or limited partner interest in the Partnership pursuant to a Transfer duly effected in accordance with this Article VI shall become a substituted General Partner or Limited Partner (as the case may be), as to the interest in the Partnership that was so Transferred, in place of the Transferor.  Unless a Transferee of any interest in the Partnership of a Partner becomes a substituted General Partner or substituted Limited Partner in accordance with the provisions of this Agreement, such Transferee shall not be entitled to any of the rights granted to a Partner hereunder other than the right to receive all or part of the share of the income, gains, losses, deductions, expenses, credits, distributions, or returns of capital to which its Transferor would otherwise be entitled in respect of the interest in the Partnership so Transferred.  Any Transferee of a general partner interest in the Partnership understands the obligations and liabilities upon the General Partner and hereby agrees to perform all of the obligations set forth herein and assumes all of the liabilities with respect to acting as General Partner contained herein and required by law.</w:t>
      </w:r>
    </w:p>
    <w:p>
      <w:pPr>
        <w:pStyle w:val="Normal"/>
        <w:tabs>
          <w:tab w:val="clear" w:pos="720"/>
          <w:tab w:val="left" w:pos="-720" w:leader="none"/>
        </w:tabs>
        <w:suppressAutoHyphens w:val="true"/>
        <w:spacing w:before="0" w:after="240"/>
        <w:jc w:val="both"/>
        <w:rPr/>
      </w:pPr>
      <w:r>
        <w:rPr>
          <w:sz w:val="22"/>
        </w:rPr>
        <w:tab/>
        <w:t>6.4</w:t>
        <w:tab/>
      </w:r>
      <w:r>
        <w:rPr>
          <w:sz w:val="22"/>
          <w:u w:val="single"/>
        </w:rPr>
        <w:t>Withdrawal of Partners</w:t>
      </w:r>
      <w:r>
        <w:rPr>
          <w:sz w:val="22"/>
        </w:rPr>
        <w:t>.  Except as permitted by Section 1.1, no Partner shall have any right to withdraw from the Partnership, unless such Partner Transfers its entire interest in the Partnership to one or more Transferees, all of whom have been admitted as substituted General Partners or Limited Partners (as the case may be) in accordance with Section 6.3.</w:t>
      </w:r>
    </w:p>
    <w:p>
      <w:pPr>
        <w:pStyle w:val="Normal"/>
        <w:tabs>
          <w:tab w:val="clear" w:pos="720"/>
          <w:tab w:val="left" w:pos="-720" w:leader="none"/>
        </w:tabs>
        <w:suppressAutoHyphens w:val="true"/>
        <w:spacing w:before="0" w:after="240"/>
        <w:jc w:val="both"/>
        <w:rPr/>
      </w:pPr>
      <w:r>
        <w:rPr>
          <w:sz w:val="22"/>
        </w:rPr>
        <w:tab/>
        <w:t>6.5</w:t>
        <w:tab/>
      </w:r>
      <w:r>
        <w:rPr>
          <w:sz w:val="22"/>
          <w:u w:val="single"/>
        </w:rPr>
        <w:t>Transfers to Competitors</w:t>
      </w:r>
      <w:r>
        <w:rPr>
          <w:sz w:val="22"/>
        </w:rPr>
        <w:t>.  Notwithstanding anything to the contrary contained herein, no Partner shall be permitted to Transfer any interest in the Partnership to any Person (other than any Affiliate of the Partnership) that is engaged in the Business.</w:t>
      </w:r>
    </w:p>
    <w:p>
      <w:pPr>
        <w:pStyle w:val="Normal"/>
        <w:keepNext w:val="true"/>
        <w:keepLines/>
        <w:numPr>
          <w:ilvl w:val="0"/>
          <w:numId w:val="0"/>
        </w:numPr>
        <w:tabs>
          <w:tab w:val="clear" w:pos="720"/>
          <w:tab w:val="left" w:pos="-720" w:leader="none"/>
        </w:tabs>
        <w:suppressAutoHyphens w:val="true"/>
        <w:jc w:val="center"/>
        <w:outlineLvl w:val="0"/>
        <w:rPr>
          <w:sz w:val="22"/>
        </w:rPr>
      </w:pPr>
      <w:r>
        <w:rPr>
          <w:sz w:val="22"/>
        </w:rPr>
        <w:t>ARTICLE VII</w:t>
      </w:r>
    </w:p>
    <w:p>
      <w:pPr>
        <w:pStyle w:val="Heading3"/>
        <w:spacing w:before="0" w:after="240"/>
        <w:ind w:hanging="0" w:start="0"/>
        <w:jc w:val="center"/>
        <w:rPr>
          <w:sz w:val="22"/>
          <w:u w:val="single"/>
        </w:rPr>
      </w:pPr>
      <w:r>
        <w:rPr>
          <w:sz w:val="22"/>
          <w:u w:val="single"/>
        </w:rPr>
        <w:t>General Accounting Provisions and Reports</w:t>
      </w:r>
    </w:p>
    <w:p>
      <w:pPr>
        <w:pStyle w:val="Normal"/>
        <w:keepLines/>
        <w:tabs>
          <w:tab w:val="clear" w:pos="720"/>
          <w:tab w:val="left" w:pos="-720" w:leader="none"/>
        </w:tabs>
        <w:suppressAutoHyphens w:val="true"/>
        <w:spacing w:before="0" w:after="240"/>
        <w:jc w:val="both"/>
        <w:rPr/>
      </w:pPr>
      <w:r>
        <w:rPr>
          <w:sz w:val="22"/>
        </w:rPr>
        <w:tab/>
        <w:t>7.1</w:t>
        <w:tab/>
      </w:r>
      <w:r>
        <w:rPr>
          <w:sz w:val="22"/>
          <w:u w:val="single"/>
        </w:rPr>
        <w:t>Books of Account; Tax Returns</w:t>
      </w:r>
      <w:r>
        <w:rPr>
          <w:sz w:val="22"/>
        </w:rPr>
        <w:t>.  The General Partner shall prepare and file, or shall cause to be prepared and filed, all United States federal, state, and local income and other tax returns required to be filed by the Partnership and shall keep or cause to be kept complete and appropriate records and books of account in which shall be entered all such transactions and other matters relative to the Partnership's operations, business, and affairs as are usually entered into records and books of account that are maintained by Persons engaged in business of like character or are required by the Act.</w:t>
      </w:r>
    </w:p>
    <w:p>
      <w:pPr>
        <w:pStyle w:val="Normal"/>
        <w:tabs>
          <w:tab w:val="clear" w:pos="720"/>
          <w:tab w:val="left" w:pos="-720" w:leader="none"/>
        </w:tabs>
        <w:suppressAutoHyphens w:val="true"/>
        <w:spacing w:before="0" w:after="240"/>
        <w:jc w:val="both"/>
        <w:rPr/>
      </w:pPr>
      <w:r>
        <w:rPr>
          <w:sz w:val="22"/>
        </w:rPr>
        <w:tab/>
        <w:t>7.2</w:t>
        <w:tab/>
      </w:r>
      <w:r>
        <w:rPr>
          <w:sz w:val="22"/>
          <w:u w:val="single"/>
        </w:rPr>
        <w:t>Place Kept; Inspection</w:t>
      </w:r>
      <w:r>
        <w:rPr>
          <w:sz w:val="22"/>
        </w:rPr>
        <w:t>.  The books and records shall be maintained at the principal place of business of the Partnership, and all such books and records (excluding those books and records that do not relate to or reflect information in respect of the requesting Partner's interest in the Partnership) shall be available for inspection and copying at the reasonable request, and at the expense, of any Partner during the ordinary business hours of the Partnership.</w:t>
      </w:r>
    </w:p>
    <w:p>
      <w:pPr>
        <w:pStyle w:val="Normal"/>
        <w:tabs>
          <w:tab w:val="clear" w:pos="720"/>
          <w:tab w:val="left" w:pos="-720" w:leader="none"/>
        </w:tabs>
        <w:suppressAutoHyphens w:val="true"/>
        <w:spacing w:before="0" w:after="240"/>
        <w:jc w:val="both"/>
        <w:rPr/>
      </w:pPr>
      <w:r>
        <w:rPr>
          <w:sz w:val="22"/>
        </w:rPr>
        <w:tab/>
        <w:t>7.3</w:t>
        <w:tab/>
      </w:r>
      <w:r>
        <w:rPr>
          <w:sz w:val="22"/>
          <w:u w:val="single"/>
        </w:rPr>
        <w:t>Reports</w:t>
      </w:r>
      <w:r>
        <w:rPr>
          <w:sz w:val="22"/>
        </w:rPr>
        <w:t>.  Within one hundred and twenty (120) days after the end of each calendar year, the General Partner will cause to be delivered to each person who was a Partner at any time during the preceding fiscal year a Form 1065 and related Schedule K-1 and such other information, if any, with respect to the Partnership, as may be necessary for the preparation of such Partner’s federal income tax returns, including a statement showing each Partner’s share of income, gain or loss, expense and credits for such fiscal year for federal income tax purposes.</w:t>
      </w:r>
    </w:p>
    <w:p>
      <w:pPr>
        <w:pStyle w:val="Normal"/>
        <w:numPr>
          <w:ilvl w:val="0"/>
          <w:numId w:val="0"/>
        </w:numPr>
        <w:tabs>
          <w:tab w:val="clear" w:pos="720"/>
          <w:tab w:val="left" w:pos="-720" w:leader="none"/>
        </w:tabs>
        <w:suppressAutoHyphens w:val="true"/>
        <w:jc w:val="center"/>
        <w:outlineLvl w:val="0"/>
        <w:rPr>
          <w:sz w:val="22"/>
        </w:rPr>
      </w:pPr>
      <w:r>
        <w:rPr>
          <w:sz w:val="22"/>
        </w:rPr>
        <w:t>ARTICLE VIII</w:t>
      </w:r>
    </w:p>
    <w:p>
      <w:pPr>
        <w:pStyle w:val="Heading3"/>
        <w:spacing w:before="0" w:after="240"/>
        <w:ind w:hanging="0" w:start="0"/>
        <w:jc w:val="center"/>
        <w:rPr>
          <w:sz w:val="22"/>
          <w:u w:val="single"/>
        </w:rPr>
      </w:pPr>
      <w:r>
        <w:rPr>
          <w:sz w:val="22"/>
          <w:u w:val="single"/>
        </w:rPr>
        <w:t>Amendments and Waivers</w:t>
      </w:r>
    </w:p>
    <w:p>
      <w:pPr>
        <w:pStyle w:val="Normal"/>
        <w:tabs>
          <w:tab w:val="clear" w:pos="720"/>
          <w:tab w:val="left" w:pos="-720" w:leader="none"/>
        </w:tabs>
        <w:suppressAutoHyphens w:val="true"/>
        <w:spacing w:before="0" w:after="240"/>
        <w:jc w:val="both"/>
        <w:rPr/>
      </w:pPr>
      <w:r>
        <w:rPr>
          <w:sz w:val="22"/>
        </w:rPr>
        <w:tab/>
        <w:t>8.1</w:t>
        <w:tab/>
      </w:r>
      <w:r>
        <w:rPr>
          <w:sz w:val="22"/>
          <w:u w:val="single"/>
        </w:rPr>
        <w:t>With Limited Partner Consent</w:t>
      </w:r>
      <w:r>
        <w:rPr>
          <w:sz w:val="22"/>
        </w:rPr>
        <w:t>.  Except as expressly provided in Section 8.2, this Agreement may be modified or amended, or any provision hereof waived, only with the written consent of the General Partner and the written consent of Limited Partners.</w:t>
      </w:r>
    </w:p>
    <w:p>
      <w:pPr>
        <w:pStyle w:val="Normal"/>
        <w:tabs>
          <w:tab w:val="clear" w:pos="720"/>
          <w:tab w:val="left" w:pos="-720" w:leader="none"/>
        </w:tabs>
        <w:suppressAutoHyphens w:val="true"/>
        <w:spacing w:before="0" w:after="240"/>
        <w:jc w:val="both"/>
        <w:rPr/>
      </w:pPr>
      <w:r>
        <w:rPr>
          <w:sz w:val="22"/>
        </w:rPr>
        <w:tab/>
        <w:t>8.2</w:t>
        <w:tab/>
      </w:r>
      <w:r>
        <w:rPr>
          <w:sz w:val="22"/>
          <w:u w:val="single"/>
        </w:rPr>
        <w:t>Without Limited Partner Consent</w:t>
      </w:r>
      <w:r>
        <w:rPr>
          <w:sz w:val="22"/>
        </w:rPr>
        <w:t xml:space="preserve">.  The General Partner may, whether with or without the consent or vote of any Limited Partner, amend or waive any provision of this Agreement that merely (i) reflects the Transfer of an interest in the Partnership or the admission or withdrawal of one or more new or substituted General or Limited Partners in accordance with this Agreement or (ii) changes </w:t>
      </w:r>
      <w:r>
        <w:rPr>
          <w:b/>
          <w:sz w:val="22"/>
          <w:u w:val="single"/>
        </w:rPr>
        <w:t>Schedule</w:t>
      </w:r>
      <w:r>
        <w:rPr>
          <w:sz w:val="22"/>
          <w:u w:val="single"/>
        </w:rPr>
        <w:t> </w:t>
      </w:r>
      <w:r>
        <w:rPr>
          <w:b/>
          <w:sz w:val="22"/>
          <w:u w:val="single"/>
        </w:rPr>
        <w:t>I</w:t>
      </w:r>
      <w:r>
        <w:rPr>
          <w:sz w:val="22"/>
        </w:rPr>
        <w:t xml:space="preserve"> to reflect the names, addresses, or Percentage Interests of the Partners as amended from time to time in accordance with this Agreement.  The General Partner may, but shall not be required to, amend </w:t>
      </w:r>
      <w:r>
        <w:rPr>
          <w:b/>
          <w:sz w:val="22"/>
          <w:u w:val="single"/>
        </w:rPr>
        <w:t>Schedule</w:t>
      </w:r>
      <w:r>
        <w:rPr>
          <w:sz w:val="22"/>
          <w:u w:val="single"/>
        </w:rPr>
        <w:t> </w:t>
      </w:r>
      <w:r>
        <w:rPr>
          <w:b/>
          <w:sz w:val="22"/>
          <w:u w:val="single"/>
        </w:rPr>
        <w:t>I</w:t>
      </w:r>
      <w:r>
        <w:rPr>
          <w:sz w:val="22"/>
        </w:rPr>
        <w:t xml:space="preserve"> to reflect any additional capital contributions; </w:t>
      </w:r>
      <w:r>
        <w:rPr>
          <w:sz w:val="22"/>
          <w:u w:val="single"/>
        </w:rPr>
        <w:t>provided</w:t>
      </w:r>
      <w:r>
        <w:rPr>
          <w:sz w:val="22"/>
        </w:rPr>
        <w:t xml:space="preserve">, </w:t>
      </w:r>
      <w:r>
        <w:rPr>
          <w:sz w:val="22"/>
          <w:u w:val="single"/>
        </w:rPr>
        <w:t>however</w:t>
      </w:r>
      <w:r>
        <w:rPr>
          <w:sz w:val="22"/>
        </w:rPr>
        <w:t>, that such amendment shall be required if the Percentage Interest of any Partner is changed as a result of any additional capital contributions.</w:t>
      </w:r>
    </w:p>
    <w:p>
      <w:pPr>
        <w:pStyle w:val="Normal"/>
        <w:keepNext w:val="true"/>
        <w:keepLines/>
        <w:numPr>
          <w:ilvl w:val="0"/>
          <w:numId w:val="0"/>
        </w:numPr>
        <w:tabs>
          <w:tab w:val="clear" w:pos="720"/>
          <w:tab w:val="left" w:pos="-720" w:leader="none"/>
        </w:tabs>
        <w:suppressAutoHyphens w:val="true"/>
        <w:jc w:val="center"/>
        <w:outlineLvl w:val="0"/>
        <w:rPr>
          <w:sz w:val="22"/>
        </w:rPr>
      </w:pPr>
      <w:r>
        <w:rPr>
          <w:sz w:val="22"/>
        </w:rPr>
        <w:t>ARTICLE IX</w:t>
      </w:r>
    </w:p>
    <w:p>
      <w:pPr>
        <w:pStyle w:val="Heading1"/>
        <w:spacing w:before="0" w:after="240"/>
        <w:ind w:hanging="0" w:start="0"/>
        <w:jc w:val="center"/>
        <w:rPr>
          <w:b w:val="false"/>
          <w:sz w:val="22"/>
          <w:u w:val="single"/>
        </w:rPr>
      </w:pPr>
      <w:r>
        <w:rPr>
          <w:b w:val="false"/>
          <w:sz w:val="22"/>
          <w:u w:val="single"/>
        </w:rPr>
        <w:t>Dissolution and Termination</w:t>
      </w:r>
    </w:p>
    <w:p>
      <w:pPr>
        <w:pStyle w:val="Normal"/>
        <w:keepLines/>
        <w:tabs>
          <w:tab w:val="clear" w:pos="720"/>
          <w:tab w:val="left" w:pos="-720" w:leader="none"/>
        </w:tabs>
        <w:suppressAutoHyphens w:val="true"/>
        <w:spacing w:before="0" w:after="240"/>
        <w:jc w:val="both"/>
        <w:rPr/>
      </w:pPr>
      <w:r>
        <w:rPr>
          <w:sz w:val="22"/>
        </w:rPr>
        <w:tab/>
        <w:t>9.1</w:t>
        <w:tab/>
      </w:r>
      <w:r>
        <w:rPr>
          <w:sz w:val="22"/>
          <w:u w:val="single"/>
        </w:rPr>
        <w:t>Dissolution</w:t>
      </w:r>
      <w:r>
        <w:rPr>
          <w:sz w:val="22"/>
        </w:rPr>
        <w:t>.  The Partnership shall be dissolved upon the first to occur of the following events:</w:t>
      </w:r>
    </w:p>
    <w:p>
      <w:pPr>
        <w:pStyle w:val="BodyTextIndent2"/>
        <w:spacing w:lineRule="auto" w:line="240" w:before="0" w:after="240"/>
        <w:ind w:firstLine="720" w:start="720" w:end="0"/>
        <w:jc w:val="both"/>
        <w:rPr/>
      </w:pPr>
      <w:r>
        <w:rPr>
          <w:sz w:val="22"/>
        </w:rPr>
        <w:t>(a)</w:t>
        <w:tab/>
        <w:t xml:space="preserve">the election of the General Partner to dissolve the Partnership at any time which election, if prior to </w:t>
      </w:r>
      <w:r>
        <w:rPr>
          <w:sz w:val="22"/>
          <w:u w:val="single"/>
        </w:rPr>
        <w:tab/>
      </w:r>
      <w:r>
        <w:rPr>
          <w:sz w:val="22"/>
        </w:rPr>
        <w:t>_______, 20__, shall be made only with the consent of Limited Partners then representing a majority in interest of all Limited Partners;</w:t>
      </w:r>
    </w:p>
    <w:p>
      <w:pPr>
        <w:pStyle w:val="Normal"/>
        <w:tabs>
          <w:tab w:val="clear" w:pos="720"/>
          <w:tab w:val="left" w:pos="-720" w:leader="none"/>
          <w:tab w:val="left" w:pos="0" w:leader="none"/>
        </w:tabs>
        <w:suppressAutoHyphens w:val="true"/>
        <w:spacing w:before="0" w:after="240"/>
        <w:ind w:start="720" w:end="0"/>
        <w:jc w:val="both"/>
        <w:rPr>
          <w:sz w:val="22"/>
        </w:rPr>
      </w:pPr>
      <w:r>
        <w:rPr>
          <w:sz w:val="22"/>
        </w:rPr>
        <w:tab/>
        <w:t>(b)</w:t>
        <w:tab/>
        <w:t>the General Partner shall have (i) made a general assignment for the benefit of creditors, (ii) filed a voluntary petition in bankruptcy, (iii) filed a petition or answer seeking for itself any reorganization, arrangement, composition, readjustment, liquidation, dissolution, or similar relief under any bankruptcy or debtor relief law, (iv) filed an answer or other pleading admitting or failing to contest the material allegations of a petition filed against it in any bankruptcy or insolvency proceeding brought against it, or (v) sought, consented to, or acquiesced in the appointment of a trustee, receiver, or liquidator of the General Partner or of all or any substantial part of its property;</w:t>
      </w:r>
    </w:p>
    <w:p>
      <w:pPr>
        <w:pStyle w:val="Normal"/>
        <w:tabs>
          <w:tab w:val="clear" w:pos="720"/>
          <w:tab w:val="left" w:pos="-720" w:leader="none"/>
          <w:tab w:val="left" w:pos="0" w:leader="none"/>
        </w:tabs>
        <w:suppressAutoHyphens w:val="true"/>
        <w:spacing w:before="0" w:after="240"/>
        <w:ind w:start="720" w:end="0"/>
        <w:jc w:val="both"/>
        <w:rPr>
          <w:sz w:val="22"/>
        </w:rPr>
      </w:pPr>
      <w:r>
        <w:rPr>
          <w:sz w:val="22"/>
        </w:rPr>
        <w:tab/>
        <w:t>(c)</w:t>
        <w:tab/>
        <w:t>if within 120 days after the commencement of any proceeding against the General Partner seeking reorganization, arrangement, composition, readjustment, liquidation, dissolution, or similar relief under any bankruptcy or debtor relief law, the proceeding shall not have been dismissed;</w:t>
      </w:r>
    </w:p>
    <w:p>
      <w:pPr>
        <w:pStyle w:val="Normal"/>
        <w:tabs>
          <w:tab w:val="clear" w:pos="720"/>
          <w:tab w:val="left" w:pos="-720" w:leader="none"/>
          <w:tab w:val="left" w:pos="0" w:leader="none"/>
        </w:tabs>
        <w:suppressAutoHyphens w:val="true"/>
        <w:spacing w:before="0" w:after="240"/>
        <w:ind w:start="720" w:end="0"/>
        <w:jc w:val="both"/>
        <w:rPr>
          <w:sz w:val="22"/>
        </w:rPr>
      </w:pPr>
      <w:r>
        <w:rPr>
          <w:sz w:val="22"/>
        </w:rPr>
        <w:tab/>
        <w:t>(d)</w:t>
        <w:tab/>
        <w:t>if within 120 days after the appointment (without the General Partner's consent or acquiescence) of a trustee, receiver, or liquidator of the General Partner or of all or any substantial part of its property, the appointment shall not have been vacated or stayed; or</w:t>
      </w:r>
    </w:p>
    <w:p>
      <w:pPr>
        <w:pStyle w:val="Normal"/>
        <w:tabs>
          <w:tab w:val="clear" w:pos="720"/>
          <w:tab w:val="left" w:pos="-720" w:leader="none"/>
          <w:tab w:val="left" w:pos="0" w:leader="none"/>
        </w:tabs>
        <w:suppressAutoHyphens w:val="true"/>
        <w:spacing w:before="0" w:after="240"/>
        <w:ind w:start="720" w:end="0"/>
        <w:jc w:val="both"/>
        <w:rPr>
          <w:sz w:val="22"/>
        </w:rPr>
      </w:pPr>
      <w:r>
        <w:rPr>
          <w:sz w:val="22"/>
        </w:rPr>
        <w:tab/>
        <w:t>(e)</w:t>
        <w:tab/>
        <w:t>if within 120 days after the expiration of any such stay, the appointment shall not have been vacated.</w:t>
      </w:r>
    </w:p>
    <w:p>
      <w:pPr>
        <w:pStyle w:val="Normal"/>
        <w:tabs>
          <w:tab w:val="clear" w:pos="720"/>
          <w:tab w:val="left" w:pos="-720" w:leader="none"/>
        </w:tabs>
        <w:suppressAutoHyphens w:val="true"/>
        <w:spacing w:before="0" w:after="240"/>
        <w:ind w:start="720" w:end="0"/>
        <w:jc w:val="both"/>
        <w:rPr>
          <w:sz w:val="22"/>
        </w:rPr>
      </w:pPr>
      <w:r>
        <w:rPr>
          <w:sz w:val="22"/>
        </w:rPr>
        <w:t>Notwithstanding the foregoing provisions of this Section 9.1, the Partnership shall not be dissolved upon the occurrence of an event specified in clause (b) through (e) of this Section 9.1 if within 90 days after such occurrence a majority in interest (under applicable United States federal income tax principles) of the remaining Partners agree in writing to continue the business of the Partnership and to the appointment, effective as of the date of withdrawal, of a successor general partner.</w:t>
      </w:r>
    </w:p>
    <w:p>
      <w:pPr>
        <w:pStyle w:val="Normal"/>
        <w:tabs>
          <w:tab w:val="clear" w:pos="720"/>
          <w:tab w:val="left" w:pos="-720" w:leader="none"/>
        </w:tabs>
        <w:suppressAutoHyphens w:val="true"/>
        <w:spacing w:before="0" w:after="240"/>
        <w:jc w:val="both"/>
        <w:rPr/>
      </w:pPr>
      <w:r>
        <w:rPr>
          <w:sz w:val="22"/>
        </w:rPr>
        <w:tab/>
        <w:t>9.2</w:t>
        <w:tab/>
      </w:r>
      <w:r>
        <w:rPr>
          <w:sz w:val="22"/>
          <w:u w:val="single"/>
        </w:rPr>
        <w:t>Accounting</w:t>
      </w:r>
      <w:r>
        <w:rPr>
          <w:sz w:val="22"/>
        </w:rPr>
        <w:t>.  Following the dissolution of the Partnership (without reconstitution) pursuant to Section 9.1, the books of the Partnership shall be closed, and a proper accounting of the Partnership's assets, liabilities, and operations shall be made by the General Partner, all as of the most recent practicable date.  The General Partner shall serve as the liquidator of the Partnership unless it fails or refuses to serve or the Partnership has been dissolved (without reconstitution) as a result of any event specified in clauses (b) through (e) of Section 9.1.  If the General Partner does not serve as the liquidator, one or more other Persons may be elected to serve by consent or vote of Limited Partners then representing a majority in interest of all Limited Partners.  The liquidator shall have all rights and powers that the Act confers on any Person serving in such capacity.  The expenses incurred by the liquidator in connection with the dissolution, liquidation, and termination of the Partnership shall be borne by the Partnership.</w:t>
      </w:r>
    </w:p>
    <w:p>
      <w:pPr>
        <w:pStyle w:val="Normal"/>
        <w:tabs>
          <w:tab w:val="clear" w:pos="720"/>
          <w:tab w:val="left" w:pos="-720" w:leader="none"/>
        </w:tabs>
        <w:suppressAutoHyphens w:val="true"/>
        <w:spacing w:before="0" w:after="240"/>
        <w:jc w:val="both"/>
        <w:rPr/>
      </w:pPr>
      <w:r>
        <w:rPr>
          <w:sz w:val="22"/>
        </w:rPr>
        <w:tab/>
        <w:t>9.3</w:t>
        <w:tab/>
      </w:r>
      <w:r>
        <w:rPr>
          <w:sz w:val="22"/>
          <w:u w:val="single"/>
        </w:rPr>
        <w:t>Termination</w:t>
      </w:r>
      <w:r>
        <w:rPr>
          <w:sz w:val="22"/>
        </w:rPr>
        <w:t xml:space="preserve">.  As expeditiously as practicable, but in no event later than one year (except as may be necessary to realize upon any material amount of property that may be illiquid), after the dissolution of the Partnership (without reconstitution) pursuant to Section 9.1, the liquidator shall cause the Partnership (i) to pay the current liabilities of the Partnership and (ii) establish a reserve fund (which may be in the form of cash or other property, as the liquidator shall determine) for any and all other liabilities, including contingent liabilities, of the Partnership in a reasonable amount determined by the liquidator to be appropriate for such purposes or otherwise make adequate provision for such other liabilities and agreed upon by a majority in interest of the Limited Partners.  The liquidator may sell property, if any, of the Partnership for cash or other consideration and shall cause all remaining cash or other property, if any, of the Partnership (after paying all liabilities and establishing a reserve fund as provided in the preceding sentence) to be distributed to the Partners in accordance with Section 9.6.  Thereafter, all remaining cash or other property, if any, of the Partnership shall be distributed to the Partners in accordance with the provisions of Section 9.6.  At the time final distributions are made in accordance with Section 9.6, a certificate of cancellation shall be filed in accordance with the Act, and the legal existence of the Partnership shall terminate; </w:t>
      </w:r>
      <w:r>
        <w:rPr>
          <w:sz w:val="22"/>
          <w:u w:val="single"/>
        </w:rPr>
        <w:t>provided</w:t>
      </w:r>
      <w:r>
        <w:rPr>
          <w:sz w:val="22"/>
        </w:rPr>
        <w:t xml:space="preserve">, </w:t>
      </w:r>
      <w:r>
        <w:rPr>
          <w:sz w:val="22"/>
          <w:u w:val="single"/>
        </w:rPr>
        <w:t>however</w:t>
      </w:r>
      <w:r>
        <w:rPr>
          <w:sz w:val="22"/>
        </w:rPr>
        <w:t>, that if at any time thereafter any reserved cash or property is released because the need for such reserve has ended, then such cash or property shall be distributed in accordance with Section 9.6.</w:t>
      </w:r>
    </w:p>
    <w:p>
      <w:pPr>
        <w:pStyle w:val="Normal"/>
        <w:tabs>
          <w:tab w:val="clear" w:pos="720"/>
          <w:tab w:val="left" w:pos="-720" w:leader="none"/>
        </w:tabs>
        <w:suppressAutoHyphens w:val="true"/>
        <w:spacing w:before="0" w:after="240"/>
        <w:jc w:val="both"/>
        <w:rPr/>
      </w:pPr>
      <w:r>
        <w:rPr>
          <w:sz w:val="22"/>
        </w:rPr>
        <w:tab/>
        <w:t>9.4</w:t>
        <w:tab/>
      </w:r>
      <w:r>
        <w:rPr>
          <w:sz w:val="22"/>
          <w:u w:val="single"/>
        </w:rPr>
        <w:t>No Negative Capital Account Obligation</w:t>
      </w:r>
      <w:r>
        <w:rPr>
          <w:sz w:val="22"/>
        </w:rPr>
        <w:t>.  Notwithstanding any other provision of this Agreement to the contrary, in no event shall any Partner who has a negative Capital Account upon final distribution of all cash and other property of the Partnership be required to restore such negative account to zero.</w:t>
      </w:r>
    </w:p>
    <w:p>
      <w:pPr>
        <w:pStyle w:val="Normal"/>
        <w:tabs>
          <w:tab w:val="clear" w:pos="720"/>
          <w:tab w:val="left" w:pos="-720" w:leader="none"/>
        </w:tabs>
        <w:suppressAutoHyphens w:val="true"/>
        <w:spacing w:before="0" w:after="240"/>
        <w:jc w:val="both"/>
        <w:rPr/>
      </w:pPr>
      <w:r>
        <w:rPr>
          <w:sz w:val="22"/>
        </w:rPr>
        <w:tab/>
        <w:t>9.5</w:t>
        <w:tab/>
      </w:r>
      <w:r>
        <w:rPr>
          <w:sz w:val="22"/>
          <w:u w:val="single"/>
        </w:rPr>
        <w:t>No Other Cause of Dissolution</w:t>
      </w:r>
      <w:r>
        <w:rPr>
          <w:sz w:val="22"/>
        </w:rPr>
        <w:t>.  The Partnership shall not be dissolved, or its legal existence terminated, for any reason whatsoever except as expressly provided in this Article IX.</w:t>
      </w:r>
    </w:p>
    <w:p>
      <w:pPr>
        <w:pStyle w:val="Normal"/>
        <w:tabs>
          <w:tab w:val="clear" w:pos="720"/>
          <w:tab w:val="left" w:pos="-720" w:leader="none"/>
        </w:tabs>
        <w:suppressAutoHyphens w:val="true"/>
        <w:spacing w:before="0" w:after="240"/>
        <w:jc w:val="both"/>
        <w:rPr/>
      </w:pPr>
      <w:r>
        <w:rPr>
          <w:sz w:val="22"/>
        </w:rPr>
        <w:tab/>
        <w:t>9.6</w:t>
        <w:tab/>
      </w:r>
      <w:r>
        <w:rPr>
          <w:sz w:val="22"/>
          <w:u w:val="single"/>
        </w:rPr>
        <w:t>Distributions Upon Dissolution</w:t>
      </w:r>
      <w:r>
        <w:rPr>
          <w:sz w:val="22"/>
        </w:rPr>
        <w:t>.  Upon dissolution of the Partnership, cash or, with the consent of the a majority in interest of the Limited Partners, other property of the Partnership, shall be distributed in the following order, unless otherwise required by mandatory provisions of the Act or other law:</w:t>
      </w:r>
    </w:p>
    <w:p>
      <w:pPr>
        <w:pStyle w:val="Normal"/>
        <w:tabs>
          <w:tab w:val="clear" w:pos="720"/>
          <w:tab w:val="left" w:pos="-720" w:leader="none"/>
        </w:tabs>
        <w:suppressAutoHyphens w:val="true"/>
        <w:spacing w:before="0" w:after="240"/>
        <w:ind w:start="720" w:end="0"/>
        <w:jc w:val="both"/>
        <w:rPr>
          <w:sz w:val="22"/>
        </w:rPr>
      </w:pPr>
      <w:r>
        <w:rPr>
          <w:sz w:val="22"/>
        </w:rPr>
        <w:tab/>
        <w:t>(a)</w:t>
        <w:tab/>
        <w:t>First, to the payment of debts and liabilities of the Company, including debts and liabilities of the Partners, and of the expenses of winding up the Partnership;</w:t>
      </w:r>
    </w:p>
    <w:p>
      <w:pPr>
        <w:pStyle w:val="Normal"/>
        <w:tabs>
          <w:tab w:val="clear" w:pos="720"/>
          <w:tab w:val="left" w:pos="-720" w:leader="none"/>
        </w:tabs>
        <w:suppressAutoHyphens w:val="true"/>
        <w:spacing w:before="0" w:after="240"/>
        <w:ind w:start="720" w:end="0"/>
        <w:jc w:val="both"/>
        <w:rPr>
          <w:sz w:val="22"/>
        </w:rPr>
      </w:pPr>
      <w:r>
        <w:rPr>
          <w:sz w:val="22"/>
        </w:rPr>
        <w:tab/>
        <w:t>(b)</w:t>
        <w:tab/>
        <w:t>Second, to the Partners to the extent of, and in proportion to, their positive Capital Account balances as adjusted to reflect Partnership distributions up to and including the liquidation; and</w:t>
      </w:r>
    </w:p>
    <w:p>
      <w:pPr>
        <w:pStyle w:val="Normal"/>
        <w:tabs>
          <w:tab w:val="clear" w:pos="720"/>
          <w:tab w:val="left" w:pos="-720" w:leader="none"/>
        </w:tabs>
        <w:suppressAutoHyphens w:val="true"/>
        <w:spacing w:before="0" w:after="240"/>
        <w:ind w:start="720" w:end="0"/>
        <w:jc w:val="both"/>
        <w:rPr>
          <w:sz w:val="22"/>
        </w:rPr>
      </w:pPr>
      <w:r>
        <w:rPr>
          <w:sz w:val="22"/>
        </w:rPr>
        <w:tab/>
        <w:t>(c)</w:t>
        <w:tab/>
        <w:t>Third, to the General Partner and Limited Partners in proportion to their respective Percentage Interests.</w:t>
      </w:r>
    </w:p>
    <w:p>
      <w:pPr>
        <w:pStyle w:val="Normal"/>
        <w:numPr>
          <w:ilvl w:val="0"/>
          <w:numId w:val="0"/>
        </w:numPr>
        <w:tabs>
          <w:tab w:val="clear" w:pos="720"/>
          <w:tab w:val="left" w:pos="-720" w:leader="none"/>
        </w:tabs>
        <w:suppressAutoHyphens w:val="true"/>
        <w:jc w:val="center"/>
        <w:outlineLvl w:val="0"/>
        <w:rPr>
          <w:sz w:val="22"/>
        </w:rPr>
      </w:pPr>
      <w:r>
        <w:rPr>
          <w:sz w:val="22"/>
        </w:rPr>
        <w:t>ARTICLE X</w:t>
      </w:r>
    </w:p>
    <w:p>
      <w:pPr>
        <w:pStyle w:val="Heading1"/>
        <w:spacing w:before="0" w:after="240"/>
        <w:ind w:hanging="0" w:start="0"/>
        <w:jc w:val="center"/>
        <w:rPr>
          <w:b w:val="false"/>
          <w:sz w:val="22"/>
          <w:u w:val="single"/>
        </w:rPr>
      </w:pPr>
      <w:r>
        <w:rPr>
          <w:b w:val="false"/>
          <w:sz w:val="22"/>
          <w:u w:val="single"/>
        </w:rPr>
        <w:t>Miscellaneous</w:t>
      </w:r>
    </w:p>
    <w:p>
      <w:pPr>
        <w:pStyle w:val="Normal"/>
        <w:tabs>
          <w:tab w:val="clear" w:pos="720"/>
          <w:tab w:val="left" w:pos="-720" w:leader="none"/>
        </w:tabs>
        <w:suppressAutoHyphens w:val="true"/>
        <w:spacing w:before="0" w:after="240"/>
        <w:jc w:val="both"/>
        <w:rPr/>
      </w:pPr>
      <w:r>
        <w:rPr>
          <w:sz w:val="22"/>
        </w:rPr>
        <w:tab/>
        <w:t>10.1</w:t>
        <w:tab/>
      </w:r>
      <w:r>
        <w:rPr>
          <w:sz w:val="22"/>
          <w:u w:val="single"/>
        </w:rPr>
        <w:t>Waiver of Partition</w:t>
      </w:r>
      <w:r>
        <w:rPr>
          <w:sz w:val="22"/>
        </w:rPr>
        <w:t>.  Each Partner hereby irrevocably waives any and all rights that it may have to maintain an action for partition of any of the Partnership's property.</w:t>
      </w:r>
    </w:p>
    <w:p>
      <w:pPr>
        <w:pStyle w:val="BodyText"/>
        <w:ind w:firstLine="720" w:end="0"/>
        <w:jc w:val="both"/>
        <w:rPr/>
      </w:pPr>
      <w:r>
        <w:rPr>
          <w:sz w:val="22"/>
        </w:rPr>
        <w:t>10.2</w:t>
        <w:tab/>
      </w:r>
      <w:r>
        <w:rPr>
          <w:sz w:val="22"/>
          <w:u w:val="single"/>
        </w:rPr>
        <w:t>Entire Agreement</w:t>
      </w:r>
      <w:r>
        <w:rPr>
          <w:sz w:val="22"/>
        </w:rPr>
        <w:t>.  This Agreement, together with the Contribution Agreement, constitutes the entire agreement among the Partners in respect of the subject matter hereof and supersedes any prior agreement or understanding among them in respect of such subject matter.</w:t>
      </w:r>
    </w:p>
    <w:p>
      <w:pPr>
        <w:pStyle w:val="Normal"/>
        <w:tabs>
          <w:tab w:val="clear" w:pos="720"/>
          <w:tab w:val="left" w:pos="-720" w:leader="none"/>
        </w:tabs>
        <w:suppressAutoHyphens w:val="true"/>
        <w:spacing w:before="0" w:after="240"/>
        <w:jc w:val="both"/>
        <w:rPr/>
      </w:pPr>
      <w:r>
        <w:rPr>
          <w:sz w:val="22"/>
        </w:rPr>
        <w:tab/>
        <w:t>10.3</w:t>
        <w:tab/>
      </w:r>
      <w:r>
        <w:rPr>
          <w:sz w:val="22"/>
          <w:u w:val="single"/>
        </w:rPr>
        <w:t>Severability</w:t>
      </w:r>
      <w:r>
        <w:rPr>
          <w:sz w:val="22"/>
        </w:rPr>
        <w:t>.  If any provision of this Agreement, or the application of such provision to any Person or circumstance, shall be held invalid under the applicable law of any jurisdiction, the remainder of this Agreement or the application of such provision to other Persons or circumstances or in other jurisdictions shall not be affected thereby.  Also, if any provision of this Agreement is invalid or unenforceable under any applicable law, then such provision shall be deemed inoperative to the extent that it may conflict therewith and shall be deemed modified to conform with such law.  Any provision hereof that may prove invalid or unenforceable under any law shall not affect the validity or enforceability of any other provision hereof.</w:t>
      </w:r>
    </w:p>
    <w:p>
      <w:pPr>
        <w:pStyle w:val="Normal"/>
        <w:tabs>
          <w:tab w:val="clear" w:pos="720"/>
          <w:tab w:val="left" w:pos="-720" w:leader="none"/>
        </w:tabs>
        <w:suppressAutoHyphens w:val="true"/>
        <w:spacing w:before="0" w:after="240"/>
        <w:jc w:val="both"/>
        <w:rPr/>
      </w:pPr>
      <w:r>
        <w:rPr>
          <w:sz w:val="22"/>
        </w:rPr>
        <w:tab/>
        <w:t>10.4</w:t>
        <w:tab/>
      </w:r>
      <w:r>
        <w:rPr>
          <w:sz w:val="22"/>
          <w:u w:val="single"/>
        </w:rPr>
        <w:t>Notices</w:t>
      </w:r>
      <w:r>
        <w:rPr>
          <w:sz w:val="22"/>
        </w:rPr>
        <w:t xml:space="preserve">.  All notices, requests, demands, consents, votes, approvals, waivers, and other communications hereunder shall be effective only if in writing and shall be deemed to have been duly given if sent by overnight courier, hand delivered, mailed (first class certified mail, postage prepaid), or sent by facsimile if to the Partners, at the addresses or facsimile numbers set forth on </w:t>
      </w:r>
      <w:r>
        <w:rPr>
          <w:b/>
          <w:sz w:val="22"/>
          <w:u w:val="single"/>
        </w:rPr>
        <w:t>Schedule I</w:t>
      </w:r>
      <w:r>
        <w:rPr>
          <w:sz w:val="22"/>
        </w:rPr>
        <w:t>, and if to the Partnership, at the address of its principal place of business referred to in Section 1.4, or to such other address or facsimile number as the Partnership or any Partner shall have last designated by notice to the Partnership and all other parties hereto in accordance with this Section 10.4.  Notices sent by hand delivery shall be deemed to have been given when received; notices mailed in accordance with the foregoing shall be deemed to have been given three days following the date so mailed; notices sent by facsimile shall be deemed to have been given when electronically confirmed; and notices sent by overnight courier shall be deemed to have been given on the next business day following the date so sent.</w:t>
      </w:r>
    </w:p>
    <w:p>
      <w:pPr>
        <w:pStyle w:val="Normal"/>
        <w:tabs>
          <w:tab w:val="clear" w:pos="720"/>
          <w:tab w:val="left" w:pos="-720" w:leader="none"/>
        </w:tabs>
        <w:suppressAutoHyphens w:val="true"/>
        <w:spacing w:before="0" w:after="240"/>
        <w:jc w:val="both"/>
        <w:rPr/>
      </w:pPr>
      <w:r>
        <w:rPr>
          <w:sz w:val="22"/>
        </w:rPr>
        <w:tab/>
        <w:t>10.5</w:t>
        <w:tab/>
      </w:r>
      <w:r>
        <w:rPr>
          <w:sz w:val="22"/>
          <w:u w:val="single"/>
        </w:rPr>
        <w:t>Governing Law</w:t>
      </w:r>
      <w:r>
        <w:rPr>
          <w:sz w:val="22"/>
        </w:rPr>
        <w:t>.  This Agreement shall be governed by and construed and enforced in accordance with the laws of the State of Delaware (without regard to principles of conflicts of laws).  So long as the Chapter 11 Cases are pending, the Partners irrevocably and unconditionally consent to submit to the jurisdiction of the Bankruptcy Court for any litigation arising out of or relating to this Agreement and the transactions contemplated hereby (and agrees not to commence any litigation relating thereto except in the Bankruptcy Court).</w:t>
      </w:r>
    </w:p>
    <w:p>
      <w:pPr>
        <w:pStyle w:val="Normal"/>
        <w:tabs>
          <w:tab w:val="clear" w:pos="720"/>
          <w:tab w:val="left" w:pos="-720" w:leader="none"/>
        </w:tabs>
        <w:suppressAutoHyphens w:val="true"/>
        <w:spacing w:before="0" w:after="240"/>
        <w:jc w:val="both"/>
        <w:rPr/>
      </w:pPr>
      <w:r>
        <w:rPr>
          <w:sz w:val="22"/>
        </w:rPr>
        <w:tab/>
        <w:t>10.6</w:t>
        <w:tab/>
      </w:r>
      <w:r>
        <w:rPr>
          <w:sz w:val="22"/>
          <w:u w:val="single"/>
        </w:rPr>
        <w:t>Successors and Assigns</w:t>
      </w:r>
      <w:r>
        <w:rPr>
          <w:sz w:val="22"/>
        </w:rPr>
        <w:t>.  Except as otherwise specifically provided in this Agreement, this Agreement shall be binding upon and inure to the benefit of the Partners and their respective heirs, legal representatives, successors and permitted assigns.</w:t>
      </w:r>
    </w:p>
    <w:p>
      <w:pPr>
        <w:pStyle w:val="Normal"/>
        <w:tabs>
          <w:tab w:val="clear" w:pos="720"/>
          <w:tab w:val="left" w:pos="-720" w:leader="none"/>
        </w:tabs>
        <w:suppressAutoHyphens w:val="true"/>
        <w:spacing w:before="0" w:after="240"/>
        <w:jc w:val="both"/>
        <w:rPr/>
      </w:pPr>
      <w:r>
        <w:rPr>
          <w:sz w:val="22"/>
        </w:rPr>
        <w:tab/>
        <w:t>10.7</w:t>
        <w:tab/>
      </w:r>
      <w:r>
        <w:rPr>
          <w:sz w:val="22"/>
          <w:u w:val="single"/>
        </w:rPr>
        <w:t>Counterparts</w:t>
      </w:r>
      <w:r>
        <w:rPr>
          <w:sz w:val="22"/>
        </w:rPr>
        <w:t>.  This Agreement may be executed in two or more counterparts, all of which shall constitute one and the same instrument.</w:t>
      </w:r>
    </w:p>
    <w:p>
      <w:pPr>
        <w:pStyle w:val="Normal"/>
        <w:tabs>
          <w:tab w:val="clear" w:pos="720"/>
          <w:tab w:val="left" w:pos="-720" w:leader="none"/>
        </w:tabs>
        <w:suppressAutoHyphens w:val="true"/>
        <w:spacing w:before="0" w:after="240"/>
        <w:jc w:val="both"/>
        <w:rPr/>
      </w:pPr>
      <w:r>
        <w:rPr>
          <w:sz w:val="22"/>
        </w:rPr>
        <w:tab/>
        <w:t>10.8</w:t>
        <w:tab/>
      </w:r>
      <w:r>
        <w:rPr>
          <w:sz w:val="22"/>
          <w:u w:val="single"/>
        </w:rPr>
        <w:t>Headings</w:t>
      </w:r>
      <w:r>
        <w:rPr>
          <w:sz w:val="22"/>
        </w:rPr>
        <w:t>.  The section and article headings in this Agreement are for convenience of reference only and shall not be deemed to alter or affect the meaning or interpretation of any provision hereof.</w:t>
      </w:r>
    </w:p>
    <w:p>
      <w:pPr>
        <w:pStyle w:val="Normal"/>
        <w:tabs>
          <w:tab w:val="clear" w:pos="720"/>
          <w:tab w:val="left" w:pos="-720" w:leader="none"/>
        </w:tabs>
        <w:suppressAutoHyphens w:val="true"/>
        <w:spacing w:before="0" w:after="240"/>
        <w:jc w:val="both"/>
        <w:rPr/>
      </w:pPr>
      <w:r>
        <w:rPr>
          <w:sz w:val="22"/>
        </w:rPr>
        <w:tab/>
        <w:t>10.9</w:t>
        <w:tab/>
      </w:r>
      <w:r>
        <w:rPr>
          <w:sz w:val="22"/>
          <w:u w:val="single"/>
        </w:rPr>
        <w:t>Other Terms</w:t>
      </w:r>
      <w:r>
        <w:rPr>
          <w:sz w:val="22"/>
        </w:rPr>
        <w:t>.  All references to "Articles," "Sections," and "Schedules" contained in this Agreement are, unless specifically indicated otherwise, references to articles, sections, and schedules of or to this Agreement.  Whenever in this Agreement the singular number is used, the same shall include the plural where appropriate (and vice versa), and words of any gender shall include each other gender where appropriate.  As used in this Agreement, the following words or phrases shall have the meanings indicated: (i) "</w:t>
      </w:r>
      <w:r>
        <w:rPr>
          <w:sz w:val="22"/>
          <w:u w:val="single"/>
        </w:rPr>
        <w:t>or</w:t>
      </w:r>
      <w:r>
        <w:rPr>
          <w:sz w:val="22"/>
        </w:rPr>
        <w:t>" means "and/or"; (ii) "</w:t>
      </w:r>
      <w:r>
        <w:rPr>
          <w:sz w:val="22"/>
          <w:u w:val="single"/>
        </w:rPr>
        <w:t>day</w:t>
      </w:r>
      <w:r>
        <w:rPr>
          <w:sz w:val="22"/>
        </w:rPr>
        <w:t>" means a calendar day; (iii) "</w:t>
      </w:r>
      <w:r>
        <w:rPr>
          <w:sz w:val="22"/>
          <w:u w:val="single"/>
        </w:rPr>
        <w:t>include</w:t>
      </w:r>
      <w:r>
        <w:rPr>
          <w:sz w:val="22"/>
        </w:rPr>
        <w:t>," "</w:t>
      </w:r>
      <w:r>
        <w:rPr>
          <w:sz w:val="22"/>
          <w:u w:val="single"/>
        </w:rPr>
        <w:t>including</w:t>
      </w:r>
      <w:r>
        <w:rPr>
          <w:sz w:val="22"/>
        </w:rPr>
        <w:t>," or their derivatives means "including without limitation"; (iv) "</w:t>
      </w:r>
      <w:r>
        <w:rPr>
          <w:sz w:val="22"/>
          <w:u w:val="single"/>
        </w:rPr>
        <w:t>laws</w:t>
      </w:r>
      <w:r>
        <w:rPr>
          <w:sz w:val="22"/>
        </w:rPr>
        <w:t>" means statutes, regulations, rules, judicial orders, and other legal pronouncements having the effect of law; and (v) "</w:t>
      </w:r>
      <w:r>
        <w:rPr>
          <w:sz w:val="22"/>
          <w:u w:val="single"/>
        </w:rPr>
        <w:t>majority in interest of all Limited Partners</w:t>
      </w:r>
      <w:r>
        <w:rPr>
          <w:sz w:val="22"/>
        </w:rPr>
        <w:t>" means Limited Partners whose Percentage Interests represent at least a majority of the Percentage Interests of all Limited Partners.  Whenever any provision of this Agreement requires or permits the General Partner to take or omit to take any action, or make or omit to make any decision, unless the context clearly requires otherwise, such provision shall be interpreted to authorize an action taken or omitted, or a decision made or omitted, by the General Partner acting alone and in good faith.</w:t>
      </w:r>
    </w:p>
    <w:p>
      <w:pPr>
        <w:pStyle w:val="Normal"/>
        <w:tabs>
          <w:tab w:val="clear" w:pos="720"/>
          <w:tab w:val="left" w:pos="-720" w:leader="none"/>
        </w:tabs>
        <w:suppressAutoHyphens w:val="true"/>
        <w:spacing w:before="0" w:after="240"/>
        <w:jc w:val="both"/>
        <w:rPr/>
      </w:pPr>
      <w:r>
        <w:rPr>
          <w:sz w:val="22"/>
        </w:rPr>
        <w:tab/>
        <w:t>10.10</w:t>
        <w:tab/>
      </w:r>
      <w:r>
        <w:rPr>
          <w:sz w:val="22"/>
          <w:u w:val="single"/>
        </w:rPr>
        <w:t>Confidentiality</w:t>
      </w:r>
      <w:r>
        <w:rPr>
          <w:sz w:val="22"/>
        </w:rPr>
        <w:t xml:space="preserve">.  Except as required by law or valid subpoena or other lawful process, the failure to comply with which would subject, or may reasonably be expected to subject, the respective receiving Partner to damages or judicial or administrative censure or contempt, each Partner who receives information that is protected under this Section 10.10 shall maintain in strict confidence, and without the prior consent of the Partner who has provided such protected information shall not disclose to any Person (other than to another Partner), and shall not use for any purpose, any and all material, nonpublic information that concerns the operations, business, or affairs of, and that is received from or on behalf of, the Partnership, the disclosing Partner, or any of their respective Affiliates; </w:t>
      </w:r>
      <w:r>
        <w:rPr>
          <w:sz w:val="22"/>
          <w:u w:val="single"/>
        </w:rPr>
        <w:t>provided</w:t>
      </w:r>
      <w:r>
        <w:rPr>
          <w:sz w:val="22"/>
        </w:rPr>
        <w:t xml:space="preserve">, </w:t>
      </w:r>
      <w:r>
        <w:rPr>
          <w:sz w:val="22"/>
          <w:u w:val="single"/>
        </w:rPr>
        <w:t>however</w:t>
      </w:r>
      <w:r>
        <w:rPr>
          <w:sz w:val="22"/>
        </w:rPr>
        <w:t>, that notwithstanding the foregoing, any receiving Partner may communicate any such information to any of its directors, officers, employees, or other representatives who have a need to know such information and for whom such receiving Partner shall be responsible or to or at the request of any governmental authority or examiner having jurisdiction over such receiving Partner.  If any receiving Partner is required by law, subpoena, legal process, or other demand for any such information with which such receiving Partner believes it is legally obligated to comply, such receiving Partner shall give prompt notice of such fact to the disclosing Partner so that the disclosing Partner may, if it desires, seek a protective order or other governmental or judicial relief to prevent disclosure of such information.</w:t>
      </w:r>
    </w:p>
    <w:p>
      <w:pPr>
        <w:pStyle w:val="Normal"/>
        <w:tabs>
          <w:tab w:val="clear" w:pos="720"/>
          <w:tab w:val="left" w:pos="-720" w:leader="none"/>
        </w:tabs>
        <w:suppressAutoHyphens w:val="true"/>
        <w:spacing w:before="0" w:after="240"/>
        <w:jc w:val="both"/>
        <w:rPr/>
      </w:pPr>
      <w:r>
        <w:rPr>
          <w:sz w:val="22"/>
        </w:rPr>
        <w:tab/>
        <w:t>10.11</w:t>
        <w:tab/>
      </w:r>
      <w:r>
        <w:rPr>
          <w:sz w:val="22"/>
          <w:u w:val="single"/>
        </w:rPr>
        <w:t>Injunctive Relief</w:t>
      </w:r>
      <w:r>
        <w:rPr>
          <w:sz w:val="22"/>
        </w:rPr>
        <w:t>.  The Partners hereby agree that money damages would not be a sufficient remedy for any breach of this Agreement and that, in addition to all other remedies, any Partner shall be entitled to appropriate equitable relief, which may include injunction and specific performance, for any breach of the provisions of this Agreement.</w:t>
      </w:r>
    </w:p>
    <w:p>
      <w:pPr>
        <w:pStyle w:val="Normal"/>
        <w:tabs>
          <w:tab w:val="clear" w:pos="720"/>
          <w:tab w:val="left" w:pos="-720" w:leader="none"/>
        </w:tabs>
        <w:suppressAutoHyphens w:val="true"/>
        <w:jc w:val="center"/>
        <w:rPr>
          <w:sz w:val="22"/>
        </w:rPr>
      </w:pPr>
      <w:r>
        <w:rPr>
          <w:sz w:val="22"/>
        </w:rPr>
        <w:t>*</w:t>
        <w:tab/>
        <w:t>*</w:t>
        <w:tab/>
        <w:t>*</w:t>
      </w:r>
      <w:r>
        <w:br w:type="page"/>
      </w:r>
    </w:p>
    <w:p>
      <w:pPr>
        <w:pStyle w:val="Normal"/>
        <w:tabs>
          <w:tab w:val="clear" w:pos="720"/>
          <w:tab w:val="left" w:pos="-720" w:leader="none"/>
        </w:tabs>
        <w:suppressAutoHyphens w:val="true"/>
        <w:jc w:val="both"/>
        <w:rPr>
          <w:sz w:val="22"/>
        </w:rPr>
      </w:pPr>
      <w:r>
        <w:rPr>
          <w:sz w:val="22"/>
        </w:rPr>
        <w:tab/>
        <w:t>IN WITNESS WHEREOF, the undersigned Partners have executed this Agreement effective as of the date first written above.</w:t>
      </w:r>
    </w:p>
    <w:p>
      <w:pPr>
        <w:pStyle w:val="Normal"/>
        <w:tabs>
          <w:tab w:val="clear" w:pos="720"/>
          <w:tab w:val="left" w:pos="-720" w:leader="none"/>
        </w:tabs>
        <w:suppressAutoHyphens w:val="true"/>
        <w:rPr>
          <w:sz w:val="22"/>
        </w:rPr>
      </w:pPr>
      <w:r>
        <w:rPr>
          <w:sz w:val="22"/>
        </w:rPr>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rPr/>
      </w:pPr>
      <w:r>
        <w:rPr>
          <w:sz w:val="22"/>
        </w:rPr>
        <w:tab/>
        <w:tab/>
        <w:tab/>
        <w:tab/>
        <w:tab/>
        <w:tab/>
      </w:r>
      <w:r>
        <w:rPr>
          <w:b/>
          <w:sz w:val="22"/>
        </w:rPr>
        <w:t>General Partner</w:t>
      </w:r>
      <w:r>
        <w:rPr>
          <w:sz w:val="22"/>
        </w:rPr>
        <w:t>:</w:t>
      </w:r>
    </w:p>
    <w:p>
      <w:pPr>
        <w:pStyle w:val="Normal"/>
        <w:tabs>
          <w:tab w:val="clear" w:pos="720"/>
          <w:tab w:val="left" w:pos="-720" w:leader="none"/>
        </w:tabs>
        <w:suppressAutoHyphens w:val="true"/>
        <w:rPr>
          <w:sz w:val="22"/>
        </w:rPr>
      </w:pPr>
      <w:r>
        <w:rPr>
          <w:sz w:val="22"/>
        </w:rPr>
      </w:r>
    </w:p>
    <w:p>
      <w:pPr>
        <w:pStyle w:val="Normal"/>
        <w:numPr>
          <w:ilvl w:val="0"/>
          <w:numId w:val="0"/>
        </w:numPr>
        <w:tabs>
          <w:tab w:val="clear" w:pos="720"/>
          <w:tab w:val="left" w:pos="-720" w:leader="none"/>
        </w:tabs>
        <w:suppressAutoHyphens w:val="true"/>
        <w:outlineLvl w:val="0"/>
        <w:rPr/>
      </w:pPr>
      <w:r>
        <w:rPr>
          <w:sz w:val="22"/>
        </w:rPr>
        <w:tab/>
        <w:tab/>
        <w:tab/>
        <w:tab/>
        <w:tab/>
        <w:tab/>
        <w:t>[</w:t>
      </w:r>
      <w:r>
        <w:rPr>
          <w:sz w:val="22"/>
          <w:u w:val="single"/>
        </w:rPr>
        <w:tab/>
        <w:tab/>
        <w:tab/>
        <w:tab/>
        <w:t>]</w:t>
      </w:r>
    </w:p>
    <w:p>
      <w:pPr>
        <w:pStyle w:val="Normal"/>
        <w:tabs>
          <w:tab w:val="clear" w:pos="720"/>
          <w:tab w:val="left" w:pos="-720" w:leader="none"/>
        </w:tabs>
        <w:suppressAutoHyphens w:val="true"/>
        <w:rPr>
          <w:sz w:val="22"/>
          <w:u w:val="single"/>
        </w:rPr>
      </w:pPr>
      <w:r>
        <w:rPr>
          <w:sz w:val="22"/>
          <w:u w:val="single"/>
        </w:rPr>
      </w:r>
    </w:p>
    <w:p>
      <w:pPr>
        <w:pStyle w:val="Normal"/>
        <w:tabs>
          <w:tab w:val="clear" w:pos="720"/>
          <w:tab w:val="left" w:pos="-720" w:leader="none"/>
        </w:tabs>
        <w:suppressAutoHyphens w:val="true"/>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rPr>
          <w:sz w:val="22"/>
        </w:rPr>
      </w:pPr>
      <w:r>
        <w:rPr>
          <w:sz w:val="22"/>
        </w:rPr>
        <w:tab/>
        <w:tab/>
        <w:tab/>
        <w:tab/>
        <w:tab/>
        <w:tab/>
        <w:t>By:____________________________________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rPr>
          <w:sz w:val="22"/>
        </w:rPr>
      </w:pPr>
      <w:r>
        <w:rPr>
          <w:sz w:val="22"/>
        </w:rPr>
        <w:tab/>
        <w:tab/>
        <w:tab/>
        <w:tab/>
        <w:tab/>
        <w:tab/>
        <w:t xml:space="preserve">     Name:</w:t>
        <w:tab/>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rPr>
          <w:sz w:val="22"/>
        </w:rPr>
      </w:pPr>
      <w:r>
        <w:rPr>
          <w:sz w:val="22"/>
        </w:rPr>
        <w:tab/>
        <w:tab/>
        <w:tab/>
        <w:tab/>
        <w:tab/>
        <w:tab/>
        <w:t xml:space="preserve">     Title:</w:t>
        <w:tab/>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pPr>
      <w:r>
        <w:rPr>
          <w:sz w:val="22"/>
        </w:rPr>
        <w:tab/>
        <w:tab/>
        <w:tab/>
        <w:tab/>
        <w:tab/>
        <w:tab/>
      </w:r>
      <w:r>
        <w:rPr>
          <w:b/>
          <w:sz w:val="22"/>
        </w:rPr>
        <w:t>Organizational Limited Partner</w:t>
      </w:r>
      <w:r>
        <w:rPr>
          <w:sz w:val="22"/>
        </w:rPr>
        <w:t>:</w:t>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tab/>
        <w:tab/>
        <w:tab/>
        <w:tab/>
        <w:tab/>
        <w:tab/>
        <w:t>_______________________________________</w:t>
      </w:r>
    </w:p>
    <w:p>
      <w:pPr>
        <w:pStyle w:val="Normal"/>
        <w:tabs>
          <w:tab w:val="clear" w:pos="720"/>
          <w:tab w:val="left" w:pos="-720" w:leader="none"/>
        </w:tabs>
        <w:suppressAutoHyphens w:val="true"/>
        <w:rPr>
          <w:sz w:val="22"/>
        </w:rPr>
      </w:pPr>
      <w:r>
        <w:rPr>
          <w:sz w:val="22"/>
        </w:rPr>
        <w:tab/>
        <w:tab/>
        <w:tab/>
        <w:tab/>
        <w:tab/>
        <w:tab/>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rPr/>
      </w:pPr>
      <w:r>
        <w:rPr>
          <w:sz w:val="22"/>
        </w:rPr>
        <w:tab/>
        <w:tab/>
        <w:tab/>
        <w:tab/>
        <w:tab/>
        <w:tab/>
      </w:r>
      <w:r>
        <w:rPr>
          <w:b/>
          <w:sz w:val="22"/>
        </w:rPr>
        <w:t>Limited Partners</w:t>
      </w:r>
      <w:r>
        <w:rPr>
          <w:sz w:val="22"/>
        </w:rPr>
        <w:t>:</w:t>
      </w:r>
    </w:p>
    <w:p>
      <w:pPr>
        <w:pStyle w:val="Normal"/>
        <w:suppressAutoHyphens w:val="true"/>
        <w:ind w:firstLine="4320" w:end="0"/>
        <w:rPr>
          <w:sz w:val="22"/>
        </w:rPr>
      </w:pPr>
      <w:r>
        <w:rPr>
          <w:sz w:val="22"/>
        </w:rPr>
      </w:r>
    </w:p>
    <w:p>
      <w:pPr>
        <w:pStyle w:val="Normal"/>
        <w:suppressAutoHyphens w:val="true"/>
        <w:ind w:firstLine="4320" w:end="0"/>
        <w:rPr>
          <w:sz w:val="22"/>
        </w:rPr>
      </w:pPr>
      <w:r>
        <w:rPr>
          <w:sz w:val="22"/>
        </w:rPr>
        <w:t>ENRON CORP.</w:t>
      </w:r>
    </w:p>
    <w:p>
      <w:pPr>
        <w:pStyle w:val="Normal"/>
        <w:suppressAutoHyphens w:val="true"/>
        <w:rPr>
          <w:sz w:val="22"/>
        </w:rPr>
      </w:pPr>
      <w:r>
        <w:rPr>
          <w:sz w:val="22"/>
        </w:rPr>
      </w:r>
    </w:p>
    <w:p>
      <w:pPr>
        <w:pStyle w:val="Normal"/>
        <w:suppressAutoHyphens w:val="true"/>
        <w:ind w:start="4320" w:end="0"/>
        <w:rPr>
          <w:sz w:val="22"/>
        </w:rPr>
      </w:pPr>
      <w:r>
        <w:rPr>
          <w:sz w:val="22"/>
        </w:rPr>
      </w:r>
    </w:p>
    <w:p>
      <w:pPr>
        <w:pStyle w:val="Normal"/>
        <w:suppressAutoHyphens w:val="true"/>
        <w:ind w:start="4320" w:end="0"/>
        <w:rPr>
          <w:sz w:val="22"/>
          <w:u w:val="single"/>
        </w:rPr>
      </w:pPr>
      <w:r>
        <w:rPr>
          <w:sz w:val="22"/>
        </w:rPr>
        <w:t>By:_______________________________________</w:t>
      </w:r>
    </w:p>
    <w:p>
      <w:pPr>
        <w:pStyle w:val="Normal"/>
        <w:suppressAutoHyphens w:val="true"/>
        <w:ind w:start="4320" w:end="0"/>
        <w:rPr>
          <w:sz w:val="22"/>
        </w:rPr>
      </w:pPr>
      <w:r>
        <w:rPr>
          <w:sz w:val="22"/>
        </w:rPr>
        <w:t xml:space="preserve">     </w:t>
      </w:r>
      <w:r>
        <w:rPr>
          <w:sz w:val="22"/>
        </w:rPr>
        <w:t>Name:</w:t>
        <w:tab/>
      </w:r>
    </w:p>
    <w:p>
      <w:pPr>
        <w:pStyle w:val="Normal"/>
        <w:suppressAutoHyphens w:val="true"/>
        <w:ind w:start="4320" w:end="0"/>
        <w:rPr>
          <w:sz w:val="22"/>
        </w:rPr>
      </w:pPr>
      <w:r>
        <w:rPr>
          <w:sz w:val="22"/>
        </w:rPr>
        <w:t xml:space="preserve">     </w:t>
      </w:r>
      <w:r>
        <w:rPr>
          <w:sz w:val="22"/>
        </w:rPr>
        <w:t>Title:</w:t>
        <w:tab/>
      </w:r>
    </w:p>
    <w:p>
      <w:pPr>
        <w:pStyle w:val="Normal"/>
        <w:suppressAutoHyphens w:val="true"/>
        <w:rPr>
          <w:sz w:val="22"/>
        </w:rPr>
      </w:pPr>
      <w:r>
        <w:rPr>
          <w:sz w:val="22"/>
        </w:rPr>
      </w:r>
    </w:p>
    <w:p>
      <w:pPr>
        <w:pStyle w:val="Normal"/>
        <w:suppressAutoHyphens w:val="true"/>
        <w:ind w:firstLine="4320" w:end="0"/>
        <w:rPr>
          <w:sz w:val="22"/>
        </w:rPr>
      </w:pPr>
      <w:r>
        <w:rPr>
          <w:sz w:val="22"/>
        </w:rPr>
        <w:t>ENRON NORTH AMERICA CORP.</w:t>
      </w:r>
    </w:p>
    <w:p>
      <w:pPr>
        <w:pStyle w:val="Normal"/>
        <w:rPr>
          <w:sz w:val="22"/>
        </w:rPr>
      </w:pPr>
      <w:r>
        <w:rPr>
          <w:sz w:val="22"/>
        </w:rPr>
      </w:r>
    </w:p>
    <w:p>
      <w:pPr>
        <w:pStyle w:val="Normal"/>
        <w:rPr>
          <w:sz w:val="22"/>
        </w:rPr>
      </w:pPr>
      <w:r>
        <w:rPr>
          <w:sz w:val="22"/>
        </w:rPr>
      </w:r>
    </w:p>
    <w:p>
      <w:pPr>
        <w:pStyle w:val="Normal"/>
        <w:suppressAutoHyphens w:val="true"/>
        <w:ind w:start="4320" w:end="0"/>
        <w:rPr>
          <w:sz w:val="22"/>
          <w:u w:val="single"/>
        </w:rPr>
      </w:pPr>
      <w:r>
        <w:rPr>
          <w:sz w:val="22"/>
        </w:rPr>
        <w:t>By:_______________________________________</w:t>
      </w:r>
    </w:p>
    <w:p>
      <w:pPr>
        <w:pStyle w:val="Normal"/>
        <w:suppressAutoHyphens w:val="true"/>
        <w:ind w:start="4320" w:end="0"/>
        <w:rPr>
          <w:sz w:val="22"/>
        </w:rPr>
      </w:pPr>
      <w:r>
        <w:rPr>
          <w:sz w:val="22"/>
        </w:rPr>
        <w:t xml:space="preserve">     </w:t>
      </w:r>
      <w:r>
        <w:rPr>
          <w:sz w:val="22"/>
        </w:rPr>
        <w:t>Name:</w:t>
        <w:tab/>
      </w:r>
    </w:p>
    <w:p>
      <w:pPr>
        <w:pStyle w:val="Normal"/>
        <w:suppressAutoHyphens w:val="true"/>
        <w:ind w:start="4320" w:end="0"/>
        <w:rPr>
          <w:sz w:val="22"/>
        </w:rPr>
      </w:pPr>
      <w:r>
        <w:rPr>
          <w:sz w:val="22"/>
        </w:rPr>
        <w:t xml:space="preserve">     </w:t>
      </w:r>
      <w:r>
        <w:rPr>
          <w:sz w:val="22"/>
        </w:rPr>
        <w:t>Title:</w:t>
        <w:tab/>
      </w:r>
    </w:p>
    <w:p>
      <w:pPr>
        <w:pStyle w:val="Normal"/>
        <w:suppressAutoHyphens w:val="true"/>
        <w:rPr>
          <w:sz w:val="22"/>
        </w:rPr>
      </w:pPr>
      <w:r>
        <w:rPr>
          <w:sz w:val="22"/>
        </w:rPr>
      </w:r>
    </w:p>
    <w:p>
      <w:pPr>
        <w:pStyle w:val="Normal"/>
        <w:suppressAutoHyphens w:val="true"/>
        <w:rPr>
          <w:sz w:val="22"/>
        </w:rPr>
      </w:pPr>
      <w:r>
        <w:rPr>
          <w:sz w:val="22"/>
        </w:rPr>
      </w:r>
    </w:p>
    <w:p>
      <w:pPr>
        <w:pStyle w:val="Normal"/>
        <w:suppressAutoHyphens w:val="true"/>
        <w:rPr>
          <w:sz w:val="22"/>
        </w:rPr>
      </w:pPr>
      <w:r>
        <w:rPr>
          <w:sz w:val="22"/>
        </w:rPr>
        <w:tab/>
        <w:tab/>
        <w:tab/>
        <w:tab/>
        <w:tab/>
        <w:tab/>
        <w:t>ENRON NET WORKS L.L.C.</w:t>
      </w:r>
    </w:p>
    <w:p>
      <w:pPr>
        <w:pStyle w:val="Normal"/>
        <w:suppressAutoHyphens w:val="true"/>
        <w:rPr>
          <w:sz w:val="22"/>
        </w:rPr>
      </w:pPr>
      <w:r>
        <w:rPr>
          <w:sz w:val="22"/>
        </w:rPr>
      </w:r>
    </w:p>
    <w:p>
      <w:pPr>
        <w:pStyle w:val="Normal"/>
        <w:suppressAutoHyphens w:val="true"/>
        <w:rPr>
          <w:sz w:val="22"/>
        </w:rPr>
      </w:pPr>
      <w:r>
        <w:rPr>
          <w:sz w:val="22"/>
        </w:rPr>
      </w:r>
    </w:p>
    <w:p>
      <w:pPr>
        <w:pStyle w:val="Normal"/>
        <w:suppressAutoHyphens w:val="true"/>
        <w:rPr>
          <w:sz w:val="22"/>
        </w:rPr>
      </w:pPr>
      <w:r>
        <w:rPr>
          <w:sz w:val="22"/>
        </w:rPr>
        <w:tab/>
        <w:tab/>
        <w:tab/>
        <w:tab/>
        <w:tab/>
        <w:tab/>
        <w:t>By:_______________________________________</w:t>
      </w:r>
    </w:p>
    <w:p>
      <w:pPr>
        <w:pStyle w:val="Normal"/>
        <w:suppressAutoHyphens w:val="true"/>
        <w:rPr>
          <w:sz w:val="22"/>
        </w:rPr>
      </w:pPr>
      <w:r>
        <w:rPr>
          <w:sz w:val="22"/>
        </w:rPr>
        <w:tab/>
        <w:tab/>
        <w:tab/>
        <w:tab/>
        <w:tab/>
        <w:tab/>
        <w:t xml:space="preserve">     Name:</w:t>
        <w:tab/>
      </w:r>
    </w:p>
    <w:p>
      <w:pPr>
        <w:pStyle w:val="Normal"/>
        <w:suppressAutoHyphens w:val="true"/>
        <w:ind w:firstLine="720" w:end="0"/>
        <w:rPr>
          <w:sz w:val="22"/>
        </w:rPr>
      </w:pPr>
      <w:r>
        <w:rPr>
          <w:sz w:val="22"/>
        </w:rPr>
        <w:tab/>
        <w:tab/>
        <w:tab/>
        <w:tab/>
        <w:tab/>
        <w:t xml:space="preserve">     Title:</w:t>
        <w:tab/>
      </w:r>
    </w:p>
    <w:p>
      <w:pPr>
        <w:pStyle w:val="Normal"/>
        <w:suppressAutoHyphens w:val="true"/>
        <w:rPr>
          <w:sz w:val="22"/>
        </w:rPr>
      </w:pPr>
      <w:r>
        <w:rPr>
          <w:sz w:val="22"/>
        </w:rPr>
      </w:r>
      <w:r>
        <w:br w:type="page"/>
      </w:r>
    </w:p>
    <w:p>
      <w:pPr>
        <w:pStyle w:val="Normal"/>
        <w:numPr>
          <w:ilvl w:val="0"/>
          <w:numId w:val="0"/>
        </w:numPr>
        <w:tabs>
          <w:tab w:val="clear" w:pos="720"/>
          <w:tab w:val="left" w:pos="-720" w:leader="none"/>
        </w:tabs>
        <w:suppressAutoHyphens w:val="true"/>
        <w:jc w:val="center"/>
        <w:outlineLvl w:val="0"/>
        <w:rPr/>
      </w:pPr>
      <w:r>
        <w:rPr>
          <w:b/>
          <w:smallCaps/>
          <w:sz w:val="22"/>
        </w:rPr>
        <w:t>The New Energy Trading Company,</w:t>
      </w:r>
      <w:r>
        <w:rPr>
          <w:b/>
          <w:sz w:val="22"/>
        </w:rPr>
        <w:t xml:space="preserve"> L.P.</w:t>
      </w:r>
    </w:p>
    <w:p>
      <w:pPr>
        <w:pStyle w:val="Heading1"/>
        <w:ind w:hanging="0" w:start="0"/>
        <w:jc w:val="center"/>
        <w:rPr>
          <w:sz w:val="22"/>
          <w:u w:val="single"/>
        </w:rPr>
      </w:pPr>
      <w:r>
        <w:rPr>
          <w:sz w:val="22"/>
          <w:u w:val="single"/>
        </w:rPr>
        <w:t>SCHEDULE I</w:t>
      </w:r>
    </w:p>
    <w:p>
      <w:pPr>
        <w:pStyle w:val="Normal"/>
        <w:tabs>
          <w:tab w:val="clear" w:pos="720"/>
          <w:tab w:val="left" w:pos="-720" w:leader="none"/>
        </w:tabs>
        <w:suppressAutoHyphens w:val="true"/>
        <w:rPr>
          <w:sz w:val="22"/>
          <w:u w:val="single"/>
        </w:rPr>
      </w:pPr>
      <w:r>
        <w:rPr>
          <w:sz w:val="22"/>
          <w:u w:val="single"/>
        </w:rPr>
      </w:r>
    </w:p>
    <w:p>
      <w:pPr>
        <w:pStyle w:val="Normal"/>
        <w:tabs>
          <w:tab w:val="clear" w:pos="720"/>
          <w:tab w:val="left" w:pos="-720" w:leader="none"/>
        </w:tabs>
        <w:suppressAutoHyphens w:val="true"/>
        <w:rPr>
          <w:sz w:val="22"/>
        </w:rPr>
      </w:pPr>
      <w:r>
        <w:rPr>
          <w:sz w:val="22"/>
        </w:rPr>
      </w:r>
    </w:p>
    <w:tbl>
      <w:tblPr>
        <w:tblW w:w="9540" w:type="dxa"/>
        <w:jc w:val="start"/>
        <w:tblInd w:w="120" w:type="dxa"/>
        <w:tblLayout w:type="fixed"/>
        <w:tblCellMar>
          <w:top w:w="0" w:type="dxa"/>
          <w:start w:w="120" w:type="dxa"/>
          <w:bottom w:w="0" w:type="dxa"/>
          <w:end w:w="120" w:type="dxa"/>
        </w:tblCellMar>
      </w:tblPr>
      <w:tblGrid>
        <w:gridCol w:w="4320"/>
        <w:gridCol w:w="2520"/>
        <w:gridCol w:w="2700"/>
      </w:tblGrid>
      <w:tr>
        <w:trPr>
          <w:tblHeader w:val="true"/>
        </w:trPr>
        <w:tc>
          <w:tcPr>
            <w:tcW w:w="4320" w:type="dxa"/>
            <w:tcBorders>
              <w:top w:val="single" w:sz="4" w:space="0" w:color="000000"/>
              <w:start w:val="single" w:sz="4" w:space="0" w:color="000000"/>
              <w:bottom w:val="single" w:sz="6" w:space="0" w:color="000000"/>
              <w:end w:val="single" w:sz="6" w:space="0" w:color="000000"/>
            </w:tcBorders>
          </w:tcPr>
          <w:p>
            <w:pPr>
              <w:pStyle w:val="Normal"/>
              <w:tabs>
                <w:tab w:val="clear" w:pos="720"/>
                <w:tab w:val="left" w:pos="-720" w:leader="none"/>
              </w:tabs>
              <w:suppressAutoHyphens w:val="true"/>
              <w:spacing w:before="90" w:after="54"/>
              <w:jc w:val="center"/>
              <w:rPr>
                <w:b/>
                <w:sz w:val="22"/>
              </w:rPr>
            </w:pPr>
            <w:r>
              <w:rPr>
                <w:b/>
                <w:sz w:val="22"/>
              </w:rPr>
              <w:t>Partner and Address</w:t>
            </w:r>
          </w:p>
        </w:tc>
        <w:tc>
          <w:tcPr>
            <w:tcW w:w="2520" w:type="dxa"/>
            <w:tcBorders>
              <w:top w:val="single" w:sz="4"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pacing w:before="90" w:after="54"/>
              <w:jc w:val="center"/>
              <w:rPr>
                <w:b/>
                <w:sz w:val="22"/>
              </w:rPr>
            </w:pPr>
            <w:r>
              <w:rPr>
                <w:b/>
                <w:sz w:val="22"/>
              </w:rPr>
              <w:t>Contribution</w:t>
            </w:r>
          </w:p>
        </w:tc>
        <w:tc>
          <w:tcPr>
            <w:tcW w:w="2700" w:type="dxa"/>
            <w:tcBorders>
              <w:top w:val="single" w:sz="4" w:space="0" w:color="000000"/>
              <w:start w:val="single" w:sz="6" w:space="0" w:color="000000"/>
              <w:bottom w:val="single" w:sz="6" w:space="0" w:color="000000"/>
              <w:end w:val="single" w:sz="4" w:space="0" w:color="000000"/>
            </w:tcBorders>
          </w:tcPr>
          <w:p>
            <w:pPr>
              <w:pStyle w:val="Normal"/>
              <w:tabs>
                <w:tab w:val="clear" w:pos="720"/>
                <w:tab w:val="left" w:pos="-720" w:leader="none"/>
              </w:tabs>
              <w:suppressAutoHyphens w:val="true"/>
              <w:spacing w:before="90" w:after="54"/>
              <w:jc w:val="center"/>
              <w:rPr>
                <w:b/>
                <w:sz w:val="22"/>
              </w:rPr>
            </w:pPr>
            <w:r>
              <w:rPr>
                <w:b/>
                <w:sz w:val="22"/>
              </w:rPr>
              <w:t>Percentage Interests</w:t>
            </w:r>
          </w:p>
        </w:tc>
      </w:tr>
      <w:tr>
        <w:trPr/>
        <w:tc>
          <w:tcPr>
            <w:tcW w:w="4320" w:type="dxa"/>
            <w:tcBorders>
              <w:top w:val="single" w:sz="6" w:space="0" w:color="000000"/>
              <w:start w:val="single" w:sz="4" w:space="0" w:color="000000"/>
              <w:bottom w:val="single" w:sz="6" w:space="0" w:color="000000"/>
              <w:end w:val="single" w:sz="6" w:space="0" w:color="000000"/>
            </w:tcBorders>
          </w:tcPr>
          <w:p>
            <w:pPr>
              <w:pStyle w:val="Heading5"/>
              <w:spacing w:before="90" w:after="54"/>
              <w:ind w:hanging="0" w:start="0"/>
              <w:rPr>
                <w:sz w:val="22"/>
              </w:rPr>
            </w:pPr>
            <w:r>
              <w:rPr>
                <w:sz w:val="22"/>
              </w:rPr>
              <w:t>General Partner</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720" w:leader="none"/>
              </w:tabs>
              <w:suppressAutoHyphens w:val="true"/>
              <w:snapToGrid w:val="false"/>
              <w:spacing w:before="90" w:after="54"/>
              <w:jc w:val="end"/>
              <w:rPr>
                <w:sz w:val="22"/>
              </w:rPr>
            </w:pPr>
            <w:r>
              <w:rPr>
                <w:sz w:val="22"/>
              </w:rPr>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720" w:leader="none"/>
              </w:tabs>
              <w:suppressAutoHyphens w:val="true"/>
              <w:spacing w:before="90" w:after="0"/>
              <w:rPr/>
            </w:pPr>
            <w:r>
              <w:rPr>
                <w:sz w:val="22"/>
              </w:rPr>
              <w:t>[</w:t>
            </w:r>
            <w:r>
              <w:rPr>
                <w:sz w:val="22"/>
                <w:u w:val="single"/>
              </w:rPr>
              <w:tab/>
              <w:tab/>
              <w:tab/>
              <w:t>]</w:t>
            </w:r>
          </w:p>
          <w:p>
            <w:pPr>
              <w:pStyle w:val="Normal"/>
              <w:tabs>
                <w:tab w:val="clear" w:pos="720"/>
                <w:tab w:val="left" w:pos="-720" w:leader="none"/>
              </w:tabs>
              <w:suppressAutoHyphens w:val="true"/>
              <w:rPr>
                <w:sz w:val="22"/>
                <w:u w:val="single"/>
              </w:rPr>
            </w:pPr>
            <w:r>
              <w:rPr>
                <w:sz w:val="22"/>
                <w:u w:val="single"/>
              </w:rPr>
              <w:tab/>
              <w:tab/>
              <w:tab/>
            </w:r>
          </w:p>
          <w:p>
            <w:pPr>
              <w:pStyle w:val="Normal"/>
              <w:tabs>
                <w:tab w:val="clear" w:pos="720"/>
                <w:tab w:val="left" w:pos="-720" w:leader="none"/>
              </w:tabs>
              <w:suppressAutoHyphens w:val="true"/>
              <w:rPr>
                <w:sz w:val="22"/>
                <w:u w:val="single"/>
              </w:rPr>
            </w:pPr>
            <w:r>
              <w:rPr>
                <w:sz w:val="22"/>
                <w:u w:val="single"/>
              </w:rPr>
              <w:tab/>
              <w:tab/>
              <w:tab/>
            </w:r>
          </w:p>
          <w:p>
            <w:pPr>
              <w:pStyle w:val="Normal"/>
              <w:tabs>
                <w:tab w:val="clear" w:pos="720"/>
                <w:tab w:val="left" w:pos="-720" w:leader="none"/>
              </w:tabs>
              <w:suppressAutoHyphens w:val="true"/>
              <w:spacing w:before="0" w:after="54"/>
              <w:rPr/>
            </w:pPr>
            <w:r>
              <w:rPr>
                <w:sz w:val="22"/>
              </w:rPr>
              <w:t>Facsimile No.:  (</w:t>
            </w:r>
            <w:r>
              <w:rPr>
                <w:sz w:val="22"/>
                <w:u w:val="single"/>
              </w:rPr>
              <w:t xml:space="preserve">       </w:t>
            </w:r>
            <w:r>
              <w:rPr>
                <w:sz w:val="22"/>
              </w:rPr>
              <w:t>)</w:t>
            </w:r>
            <w:r>
              <w:rPr>
                <w:sz w:val="22"/>
                <w:lang w:eastAsia="en-US"/>
              </w:rPr>
              <w:t xml:space="preserve"> </w:t>
            </w:r>
            <w:r>
              <w:rPr>
                <w:sz w:val="22"/>
                <w:u w:val="single"/>
                <w:lang w:eastAsia="en-US"/>
              </w:rPr>
              <w:tab/>
              <w:tab/>
            </w:r>
          </w:p>
          <w:p>
            <w:pPr>
              <w:pStyle w:val="Normal"/>
              <w:tabs>
                <w:tab w:val="clear" w:pos="720"/>
                <w:tab w:val="left" w:pos="-720" w:leader="none"/>
              </w:tabs>
              <w:suppressAutoHyphens w:val="true"/>
              <w:spacing w:before="0" w:after="54"/>
              <w:rPr>
                <w:sz w:val="22"/>
                <w:u w:val="single"/>
              </w:rPr>
            </w:pPr>
            <w:r>
              <w:rPr>
                <w:sz w:val="22"/>
                <w:lang w:eastAsia="en-US"/>
              </w:rPr>
              <w:t xml:space="preserve">Attention: </w:t>
            </w:r>
            <w:r>
              <w:rPr>
                <w:sz w:val="22"/>
                <w:u w:val="single"/>
                <w:lang w:eastAsia="en-US"/>
              </w:rPr>
              <w:tab/>
              <w:tab/>
              <w:tab/>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90" w:after="54"/>
              <w:ind w:end="-120"/>
              <w:jc w:val="center"/>
              <w:rPr>
                <w:sz w:val="22"/>
                <w:u w:val="single"/>
              </w:rPr>
            </w:pPr>
            <w:r>
              <w:rPr>
                <w:sz w:val="22"/>
                <w:u w:val="single"/>
              </w:rPr>
            </w:r>
          </w:p>
        </w:tc>
        <w:tc>
          <w:tcPr>
            <w:tcW w:w="270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720" w:leader="none"/>
              </w:tabs>
              <w:suppressAutoHyphens w:val="true"/>
              <w:spacing w:before="90" w:after="54"/>
              <w:ind w:end="-120"/>
              <w:jc w:val="center"/>
              <w:rPr>
                <w:sz w:val="22"/>
              </w:rPr>
            </w:pPr>
            <w:r>
              <w:rPr>
                <w:sz w:val="22"/>
              </w:rPr>
              <w:t>51.0000%</w:t>
            </w:r>
          </w:p>
        </w:tc>
      </w:tr>
      <w:tr>
        <w:trPr/>
        <w:tc>
          <w:tcPr>
            <w:tcW w:w="4320" w:type="dxa"/>
            <w:tcBorders>
              <w:top w:val="single" w:sz="6" w:space="0" w:color="000000"/>
              <w:start w:val="single" w:sz="4" w:space="0" w:color="000000"/>
              <w:bottom w:val="single" w:sz="6" w:space="0" w:color="000000"/>
              <w:end w:val="single" w:sz="6" w:space="0" w:color="000000"/>
            </w:tcBorders>
          </w:tcPr>
          <w:p>
            <w:pPr>
              <w:pStyle w:val="Heading5"/>
              <w:spacing w:before="90" w:after="54"/>
              <w:ind w:hanging="0" w:start="0"/>
              <w:rPr>
                <w:sz w:val="22"/>
              </w:rPr>
            </w:pPr>
            <w:r>
              <w:rPr>
                <w:sz w:val="22"/>
              </w:rPr>
              <w:t>Limited Partners</w:t>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720" w:leader="none"/>
              </w:tabs>
              <w:suppressAutoHyphens w:val="true"/>
              <w:snapToGrid w:val="false"/>
              <w:spacing w:before="90" w:after="54"/>
              <w:jc w:val="end"/>
              <w:rPr>
                <w:sz w:val="22"/>
              </w:rPr>
            </w:pPr>
            <w:r>
              <w:rPr>
                <w:sz w:val="22"/>
              </w:rPr>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0" w:after="54"/>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90" w:after="54"/>
              <w:jc w:val="center"/>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720" w:leader="none"/>
              </w:tabs>
              <w:suppressAutoHyphens w:val="true"/>
              <w:snapToGrid w:val="false"/>
              <w:spacing w:before="90" w:after="54"/>
              <w:jc w:val="center"/>
              <w:rPr>
                <w:sz w:val="22"/>
              </w:rPr>
            </w:pPr>
            <w:r>
              <w:rPr>
                <w:sz w:val="22"/>
              </w:rPr>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720" w:leader="none"/>
              </w:tabs>
              <w:suppressAutoHyphens w:val="true"/>
              <w:spacing w:before="90" w:after="0"/>
              <w:rPr>
                <w:sz w:val="22"/>
                <w:u w:val="single"/>
              </w:rPr>
            </w:pPr>
            <w:r>
              <w:rPr>
                <w:sz w:val="22"/>
              </w:rPr>
              <w:t>ENRON CORP.</w:t>
            </w:r>
          </w:p>
          <w:p>
            <w:pPr>
              <w:pStyle w:val="Normal"/>
              <w:tabs>
                <w:tab w:val="clear" w:pos="720"/>
                <w:tab w:val="left" w:pos="-720" w:leader="none"/>
              </w:tabs>
              <w:suppressAutoHyphens w:val="true"/>
              <w:rPr>
                <w:sz w:val="22"/>
                <w:u w:val="single"/>
              </w:rPr>
            </w:pPr>
            <w:r>
              <w:rPr>
                <w:sz w:val="22"/>
                <w:u w:val="single"/>
              </w:rPr>
              <w:tab/>
              <w:tab/>
              <w:tab/>
            </w:r>
          </w:p>
          <w:p>
            <w:pPr>
              <w:pStyle w:val="Normal"/>
              <w:tabs>
                <w:tab w:val="clear" w:pos="720"/>
                <w:tab w:val="left" w:pos="-720" w:leader="none"/>
              </w:tabs>
              <w:suppressAutoHyphens w:val="true"/>
              <w:rPr>
                <w:sz w:val="22"/>
                <w:u w:val="single"/>
              </w:rPr>
            </w:pPr>
            <w:r>
              <w:rPr>
                <w:sz w:val="22"/>
                <w:u w:val="single"/>
              </w:rPr>
              <w:tab/>
              <w:tab/>
              <w:tab/>
            </w:r>
          </w:p>
          <w:p>
            <w:pPr>
              <w:pStyle w:val="Normal"/>
              <w:tabs>
                <w:tab w:val="clear" w:pos="720"/>
                <w:tab w:val="left" w:pos="-720" w:leader="none"/>
              </w:tabs>
              <w:suppressAutoHyphens w:val="true"/>
              <w:spacing w:before="0" w:after="54"/>
              <w:rPr/>
            </w:pPr>
            <w:r>
              <w:rPr>
                <w:sz w:val="22"/>
              </w:rPr>
              <w:t>Facsimile No.:  (</w:t>
            </w:r>
            <w:r>
              <w:rPr>
                <w:sz w:val="22"/>
                <w:u w:val="single"/>
              </w:rPr>
              <w:t xml:space="preserve">       </w:t>
            </w:r>
            <w:r>
              <w:rPr>
                <w:sz w:val="22"/>
              </w:rPr>
              <w:t>)</w:t>
            </w:r>
            <w:r>
              <w:rPr>
                <w:sz w:val="22"/>
                <w:lang w:eastAsia="en-US"/>
              </w:rPr>
              <w:t xml:space="preserve"> </w:t>
            </w:r>
            <w:r>
              <w:rPr>
                <w:sz w:val="22"/>
                <w:u w:val="single"/>
                <w:lang w:eastAsia="en-US"/>
              </w:rPr>
              <w:tab/>
              <w:tab/>
            </w:r>
          </w:p>
          <w:p>
            <w:pPr>
              <w:pStyle w:val="Normal"/>
              <w:rPr>
                <w:sz w:val="22"/>
              </w:rPr>
            </w:pPr>
            <w:r>
              <w:rPr>
                <w:sz w:val="22"/>
                <w:lang w:eastAsia="en-US"/>
              </w:rPr>
              <w:t xml:space="preserve">Attention: </w:t>
            </w:r>
            <w:r>
              <w:rPr>
                <w:sz w:val="22"/>
                <w:u w:val="single"/>
                <w:lang w:eastAsia="en-US"/>
              </w:rPr>
              <w:tab/>
              <w:tab/>
              <w:tab/>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720" w:leader="none"/>
              </w:tabs>
              <w:suppressAutoHyphens w:val="true"/>
              <w:spacing w:before="90" w:after="54"/>
              <w:jc w:val="center"/>
              <w:rPr>
                <w:sz w:val="22"/>
              </w:rPr>
            </w:pPr>
            <w:r>
              <w:rPr>
                <w:sz w:val="22"/>
              </w:rPr>
              <w:t>%</w:t>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90" w:after="54"/>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720" w:leader="none"/>
              </w:tabs>
              <w:suppressAutoHyphens w:val="true"/>
              <w:snapToGrid w:val="false"/>
              <w:spacing w:before="90" w:after="54"/>
              <w:jc w:val="end"/>
              <w:rPr>
                <w:sz w:val="22"/>
              </w:rPr>
            </w:pPr>
            <w:r>
              <w:rPr>
                <w:sz w:val="22"/>
              </w:rPr>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720" w:leader="none"/>
              </w:tabs>
              <w:suppressAutoHyphens w:val="true"/>
              <w:spacing w:before="90" w:after="0"/>
              <w:rPr>
                <w:sz w:val="22"/>
                <w:u w:val="single"/>
              </w:rPr>
            </w:pPr>
            <w:r>
              <w:rPr>
                <w:sz w:val="22"/>
              </w:rPr>
              <w:t>ENRON NORTH AMERICA CORP.</w:t>
            </w:r>
          </w:p>
          <w:p>
            <w:pPr>
              <w:pStyle w:val="Normal"/>
              <w:tabs>
                <w:tab w:val="clear" w:pos="720"/>
                <w:tab w:val="left" w:pos="-720" w:leader="none"/>
              </w:tabs>
              <w:suppressAutoHyphens w:val="true"/>
              <w:rPr>
                <w:sz w:val="22"/>
                <w:u w:val="single"/>
              </w:rPr>
            </w:pPr>
            <w:r>
              <w:rPr>
                <w:sz w:val="22"/>
                <w:u w:val="single"/>
              </w:rPr>
              <w:tab/>
              <w:tab/>
              <w:tab/>
            </w:r>
          </w:p>
          <w:p>
            <w:pPr>
              <w:pStyle w:val="Normal"/>
              <w:tabs>
                <w:tab w:val="clear" w:pos="720"/>
                <w:tab w:val="left" w:pos="-720" w:leader="none"/>
              </w:tabs>
              <w:suppressAutoHyphens w:val="true"/>
              <w:rPr>
                <w:sz w:val="22"/>
                <w:u w:val="single"/>
              </w:rPr>
            </w:pPr>
            <w:r>
              <w:rPr>
                <w:sz w:val="22"/>
                <w:u w:val="single"/>
              </w:rPr>
              <w:tab/>
              <w:tab/>
              <w:tab/>
            </w:r>
          </w:p>
          <w:p>
            <w:pPr>
              <w:pStyle w:val="Normal"/>
              <w:tabs>
                <w:tab w:val="clear" w:pos="720"/>
                <w:tab w:val="left" w:pos="-720" w:leader="none"/>
              </w:tabs>
              <w:suppressAutoHyphens w:val="true"/>
              <w:spacing w:before="0" w:after="54"/>
              <w:rPr/>
            </w:pPr>
            <w:r>
              <w:rPr>
                <w:sz w:val="22"/>
              </w:rPr>
              <w:t>Facsimile No.:  (</w:t>
            </w:r>
            <w:r>
              <w:rPr>
                <w:sz w:val="22"/>
                <w:u w:val="single"/>
              </w:rPr>
              <w:t xml:space="preserve">       </w:t>
            </w:r>
            <w:r>
              <w:rPr>
                <w:sz w:val="22"/>
              </w:rPr>
              <w:t>)</w:t>
            </w:r>
            <w:r>
              <w:rPr>
                <w:sz w:val="22"/>
                <w:lang w:eastAsia="en-US"/>
              </w:rPr>
              <w:t xml:space="preserve"> </w:t>
            </w:r>
            <w:r>
              <w:rPr>
                <w:sz w:val="22"/>
                <w:u w:val="single"/>
                <w:lang w:eastAsia="en-US"/>
              </w:rPr>
              <w:tab/>
              <w:tab/>
            </w:r>
          </w:p>
          <w:p>
            <w:pPr>
              <w:pStyle w:val="Normal"/>
              <w:tabs>
                <w:tab w:val="clear" w:pos="720"/>
                <w:tab w:val="left" w:pos="-720" w:leader="none"/>
              </w:tabs>
              <w:suppressAutoHyphens w:val="true"/>
              <w:rPr>
                <w:sz w:val="22"/>
              </w:rPr>
            </w:pPr>
            <w:r>
              <w:rPr>
                <w:sz w:val="22"/>
                <w:lang w:eastAsia="en-US"/>
              </w:rPr>
              <w:t xml:space="preserve">Attention: </w:t>
            </w:r>
            <w:r>
              <w:rPr>
                <w:sz w:val="22"/>
                <w:u w:val="single"/>
                <w:lang w:eastAsia="en-US"/>
              </w:rPr>
              <w:tab/>
              <w:tab/>
              <w:tab/>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720" w:leader="none"/>
              </w:tabs>
              <w:suppressAutoHyphens w:val="true"/>
              <w:spacing w:before="90" w:after="54"/>
              <w:jc w:val="center"/>
              <w:rPr>
                <w:sz w:val="22"/>
              </w:rPr>
            </w:pPr>
            <w:r>
              <w:rPr>
                <w:sz w:val="22"/>
              </w:rPr>
              <w:t>%</w:t>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90" w:after="54"/>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720" w:leader="none"/>
              </w:tabs>
              <w:suppressAutoHyphens w:val="true"/>
              <w:snapToGrid w:val="false"/>
              <w:spacing w:before="90" w:after="54"/>
              <w:jc w:val="end"/>
              <w:rPr>
                <w:sz w:val="22"/>
              </w:rPr>
            </w:pPr>
            <w:r>
              <w:rPr>
                <w:sz w:val="22"/>
              </w:rPr>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720" w:leader="none"/>
              </w:tabs>
              <w:suppressAutoHyphens w:val="true"/>
              <w:spacing w:before="90" w:after="0"/>
              <w:rPr>
                <w:sz w:val="22"/>
                <w:u w:val="single"/>
              </w:rPr>
            </w:pPr>
            <w:r>
              <w:rPr>
                <w:sz w:val="22"/>
              </w:rPr>
              <w:t>ENRON NET WORKS L.L.C.</w:t>
            </w:r>
          </w:p>
          <w:p>
            <w:pPr>
              <w:pStyle w:val="Normal"/>
              <w:tabs>
                <w:tab w:val="clear" w:pos="720"/>
                <w:tab w:val="left" w:pos="-720" w:leader="none"/>
              </w:tabs>
              <w:suppressAutoHyphens w:val="true"/>
              <w:rPr>
                <w:sz w:val="22"/>
                <w:u w:val="single"/>
              </w:rPr>
            </w:pPr>
            <w:r>
              <w:rPr>
                <w:sz w:val="22"/>
                <w:u w:val="single"/>
              </w:rPr>
              <w:tab/>
              <w:tab/>
              <w:tab/>
            </w:r>
          </w:p>
          <w:p>
            <w:pPr>
              <w:pStyle w:val="Normal"/>
              <w:tabs>
                <w:tab w:val="clear" w:pos="720"/>
                <w:tab w:val="left" w:pos="-720" w:leader="none"/>
              </w:tabs>
              <w:suppressAutoHyphens w:val="true"/>
              <w:rPr>
                <w:sz w:val="22"/>
                <w:u w:val="single"/>
              </w:rPr>
            </w:pPr>
            <w:r>
              <w:rPr>
                <w:sz w:val="22"/>
                <w:u w:val="single"/>
              </w:rPr>
              <w:tab/>
              <w:tab/>
              <w:tab/>
            </w:r>
          </w:p>
          <w:p>
            <w:pPr>
              <w:pStyle w:val="Normal"/>
              <w:tabs>
                <w:tab w:val="clear" w:pos="720"/>
                <w:tab w:val="left" w:pos="-720" w:leader="none"/>
              </w:tabs>
              <w:suppressAutoHyphens w:val="true"/>
              <w:spacing w:before="0" w:after="54"/>
              <w:rPr/>
            </w:pPr>
            <w:r>
              <w:rPr>
                <w:sz w:val="22"/>
              </w:rPr>
              <w:t>Facsimile No.:  (</w:t>
            </w:r>
            <w:r>
              <w:rPr>
                <w:sz w:val="22"/>
                <w:u w:val="single"/>
              </w:rPr>
              <w:t xml:space="preserve">       </w:t>
            </w:r>
            <w:r>
              <w:rPr>
                <w:sz w:val="22"/>
              </w:rPr>
              <w:t>)</w:t>
            </w:r>
            <w:r>
              <w:rPr>
                <w:sz w:val="22"/>
                <w:lang w:eastAsia="en-US"/>
              </w:rPr>
              <w:t xml:space="preserve"> </w:t>
            </w:r>
            <w:r>
              <w:rPr>
                <w:sz w:val="22"/>
                <w:u w:val="single"/>
                <w:lang w:eastAsia="en-US"/>
              </w:rPr>
              <w:tab/>
              <w:tab/>
            </w:r>
          </w:p>
          <w:p>
            <w:pPr>
              <w:pStyle w:val="Normal"/>
              <w:tabs>
                <w:tab w:val="clear" w:pos="720"/>
                <w:tab w:val="left" w:pos="-720" w:leader="none"/>
              </w:tabs>
              <w:suppressAutoHyphens w:val="true"/>
              <w:rPr>
                <w:sz w:val="22"/>
              </w:rPr>
            </w:pPr>
            <w:r>
              <w:rPr>
                <w:sz w:val="22"/>
                <w:lang w:eastAsia="en-US"/>
              </w:rPr>
              <w:t xml:space="preserve">Attention: </w:t>
            </w:r>
            <w:r>
              <w:rPr>
                <w:sz w:val="22"/>
                <w:u w:val="single"/>
                <w:lang w:eastAsia="en-US"/>
              </w:rPr>
              <w:tab/>
              <w:tab/>
              <w:tab/>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720" w:leader="none"/>
              </w:tabs>
              <w:suppressAutoHyphens w:val="true"/>
              <w:spacing w:before="90" w:after="54"/>
              <w:jc w:val="center"/>
              <w:rPr>
                <w:sz w:val="22"/>
              </w:rPr>
            </w:pPr>
            <w:r>
              <w:rPr>
                <w:sz w:val="22"/>
              </w:rPr>
              <w:t>%</w:t>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90" w:after="54"/>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720" w:leader="none"/>
              </w:tabs>
              <w:suppressAutoHyphens w:val="true"/>
              <w:snapToGrid w:val="false"/>
              <w:spacing w:before="90" w:after="54"/>
              <w:jc w:val="end"/>
              <w:rPr>
                <w:sz w:val="22"/>
              </w:rPr>
            </w:pPr>
            <w:r>
              <w:rPr>
                <w:sz w:val="22"/>
              </w:rPr>
            </w:r>
          </w:p>
        </w:tc>
      </w:tr>
      <w:tr>
        <w:trPr/>
        <w:tc>
          <w:tcPr>
            <w:tcW w:w="4320" w:type="dxa"/>
            <w:tcBorders>
              <w:top w:val="single" w:sz="6" w:space="0" w:color="000000"/>
              <w:start w:val="single" w:sz="4" w:space="0" w:color="000000"/>
              <w:bottom w:val="single" w:sz="4" w:space="0" w:color="000000"/>
              <w:end w:val="single" w:sz="6" w:space="0" w:color="000000"/>
            </w:tcBorders>
          </w:tcPr>
          <w:p>
            <w:pPr>
              <w:pStyle w:val="Normal"/>
              <w:tabs>
                <w:tab w:val="clear" w:pos="720"/>
                <w:tab w:val="left" w:pos="-720" w:leader="none"/>
                <w:tab w:val="left" w:pos="0" w:leader="none"/>
              </w:tabs>
              <w:suppressAutoHyphens w:val="true"/>
              <w:spacing w:before="90" w:after="54"/>
              <w:ind w:hanging="720" w:start="720" w:end="0"/>
              <w:rPr/>
            </w:pPr>
            <w:r>
              <w:rPr>
                <w:sz w:val="22"/>
              </w:rPr>
              <w:tab/>
            </w:r>
            <w:r>
              <w:rPr>
                <w:b/>
                <w:sz w:val="22"/>
              </w:rPr>
              <w:t>Total All Partners</w:t>
            </w:r>
            <w:r>
              <w:rPr>
                <w:sz w:val="22"/>
              </w:rPr>
              <w:t>:</w:t>
            </w:r>
          </w:p>
        </w:tc>
        <w:tc>
          <w:tcPr>
            <w:tcW w:w="2520" w:type="dxa"/>
            <w:tcBorders>
              <w:top w:val="single" w:sz="6" w:space="0" w:color="000000"/>
              <w:start w:val="single" w:sz="6" w:space="0" w:color="000000"/>
              <w:bottom w:val="single" w:sz="4" w:space="0" w:color="000000"/>
              <w:end w:val="single" w:sz="6" w:space="0" w:color="000000"/>
            </w:tcBorders>
          </w:tcPr>
          <w:p>
            <w:pPr>
              <w:pStyle w:val="Normal"/>
              <w:tabs>
                <w:tab w:val="clear" w:pos="720"/>
                <w:tab w:val="left" w:pos="-720" w:leader="none"/>
              </w:tabs>
              <w:suppressAutoHyphens w:val="true"/>
              <w:snapToGrid w:val="false"/>
              <w:spacing w:before="90" w:after="54"/>
              <w:jc w:val="center"/>
              <w:rPr>
                <w:b/>
                <w:sz w:val="22"/>
              </w:rPr>
            </w:pPr>
            <w:r>
              <w:rPr>
                <w:b/>
                <w:sz w:val="22"/>
              </w:rPr>
            </w:r>
          </w:p>
        </w:tc>
        <w:tc>
          <w:tcPr>
            <w:tcW w:w="2700" w:type="dxa"/>
            <w:tcBorders>
              <w:top w:val="single" w:sz="6" w:space="0" w:color="000000"/>
              <w:start w:val="single" w:sz="6"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jc w:val="center"/>
              <w:rPr>
                <w:b/>
                <w:sz w:val="22"/>
              </w:rPr>
            </w:pPr>
            <w:r>
              <w:rPr>
                <w:b/>
                <w:sz w:val="22"/>
                <w:u w:val="double"/>
              </w:rPr>
              <w:t>100.0000%</w:t>
            </w:r>
          </w:p>
        </w:tc>
      </w:tr>
    </w:tbl>
    <w:p>
      <w:pPr>
        <w:pStyle w:val="Normal"/>
        <w:rPr>
          <w:sz w:val="22"/>
        </w:rPr>
      </w:pPr>
      <w:r>
        <w:rPr>
          <w:sz w:val="22"/>
        </w:rPr>
      </w:r>
    </w:p>
    <w:p>
      <w:pPr>
        <w:pStyle w:val="Normal"/>
        <w:rPr>
          <w:sz w:val="22"/>
        </w:rPr>
      </w:pPr>
      <w:r>
        <w:rPr>
          <w:sz w:val="22"/>
        </w:rPr>
      </w:r>
      <w:r>
        <w:br w:type="page"/>
      </w:r>
    </w:p>
    <w:p>
      <w:pPr>
        <w:pStyle w:val="Normal"/>
        <w:numPr>
          <w:ilvl w:val="0"/>
          <w:numId w:val="0"/>
        </w:numPr>
        <w:tabs>
          <w:tab w:val="clear" w:pos="720"/>
          <w:tab w:val="left" w:pos="-720" w:leader="none"/>
        </w:tabs>
        <w:suppressAutoHyphens w:val="true"/>
        <w:jc w:val="center"/>
        <w:outlineLvl w:val="0"/>
        <w:rPr/>
      </w:pPr>
      <w:r>
        <w:rPr>
          <w:b/>
          <w:smallCaps/>
          <w:sz w:val="22"/>
        </w:rPr>
        <w:t>The New Energy Trading Company,</w:t>
      </w:r>
      <w:r>
        <w:rPr>
          <w:b/>
          <w:sz w:val="22"/>
        </w:rPr>
        <w:t xml:space="preserve"> L.P.</w:t>
      </w:r>
    </w:p>
    <w:p>
      <w:pPr>
        <w:pStyle w:val="Normal"/>
        <w:jc w:val="center"/>
        <w:rPr>
          <w:b/>
          <w:sz w:val="22"/>
          <w:u w:val="single"/>
        </w:rPr>
      </w:pPr>
      <w:r>
        <w:rPr>
          <w:b/>
          <w:sz w:val="22"/>
          <w:u w:val="single"/>
        </w:rPr>
        <w:t>ANNEX A</w:t>
      </w:r>
    </w:p>
    <w:p>
      <w:pPr>
        <w:pStyle w:val="Normal"/>
        <w:rPr>
          <w:b/>
          <w:sz w:val="22"/>
          <w:u w:val="single"/>
        </w:rPr>
      </w:pPr>
      <w:r>
        <w:rPr>
          <w:b/>
          <w:sz w:val="22"/>
          <w:u w:val="single"/>
        </w:rPr>
      </w:r>
    </w:p>
    <w:p>
      <w:pPr>
        <w:pStyle w:val="BodyText"/>
        <w:ind w:hanging="0" w:end="0"/>
        <w:jc w:val="center"/>
        <w:rPr>
          <w:b/>
          <w:sz w:val="22"/>
        </w:rPr>
      </w:pPr>
      <w:r>
        <w:rPr>
          <w:b/>
          <w:sz w:val="22"/>
        </w:rPr>
        <w:t>TERMS OF REGISTRATION RIGHTS AGREEMENT</w:t>
      </w:r>
    </w:p>
    <w:p>
      <w:pPr>
        <w:pStyle w:val="Normal"/>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1908"/>
        <w:gridCol w:w="6948"/>
      </w:tblGrid>
      <w:tr>
        <w:trPr/>
        <w:tc>
          <w:tcPr>
            <w:tcW w:w="1908" w:type="dxa"/>
            <w:tcBorders/>
          </w:tcPr>
          <w:p>
            <w:pPr>
              <w:pStyle w:val="Normal"/>
              <w:tabs>
                <w:tab w:val="clear" w:pos="720"/>
                <w:tab w:val="left" w:pos="-90" w:leader="none"/>
              </w:tabs>
              <w:rPr/>
            </w:pPr>
            <w:r>
              <w:rPr>
                <w:b/>
                <w:sz w:val="22"/>
              </w:rPr>
              <w:t>Registrable Securities</w:t>
            </w:r>
            <w:r>
              <w:rPr>
                <w:sz w:val="22"/>
              </w:rPr>
              <w:t>:</w:t>
            </w:r>
          </w:p>
        </w:tc>
        <w:tc>
          <w:tcPr>
            <w:tcW w:w="6948" w:type="dxa"/>
            <w:tcBorders/>
          </w:tcPr>
          <w:p>
            <w:pPr>
              <w:pStyle w:val="Normal"/>
              <w:tabs>
                <w:tab w:val="clear" w:pos="720"/>
                <w:tab w:val="left" w:pos="-90" w:leader="none"/>
              </w:tabs>
              <w:rPr>
                <w:sz w:val="22"/>
              </w:rPr>
            </w:pPr>
            <w:r>
              <w:rPr>
                <w:sz w:val="22"/>
              </w:rPr>
              <w:t>The Put Stock.</w:t>
            </w:r>
          </w:p>
        </w:tc>
      </w:tr>
      <w:tr>
        <w:trPr/>
        <w:tc>
          <w:tcPr>
            <w:tcW w:w="1908" w:type="dxa"/>
            <w:tcBorders/>
          </w:tcPr>
          <w:p>
            <w:pPr>
              <w:pStyle w:val="Normal"/>
              <w:tabs>
                <w:tab w:val="clear" w:pos="720"/>
                <w:tab w:val="left" w:pos="-90" w:leader="none"/>
              </w:tabs>
              <w:snapToGrid w:val="false"/>
              <w:rPr>
                <w:b/>
                <w:sz w:val="22"/>
              </w:rPr>
            </w:pPr>
            <w:r>
              <w:rPr>
                <w:b/>
                <w:sz w:val="22"/>
              </w:rPr>
            </w:r>
          </w:p>
        </w:tc>
        <w:tc>
          <w:tcPr>
            <w:tcW w:w="6948" w:type="dxa"/>
            <w:tcBorders/>
          </w:tcPr>
          <w:p>
            <w:pPr>
              <w:pStyle w:val="Normal"/>
              <w:tabs>
                <w:tab w:val="clear" w:pos="720"/>
                <w:tab w:val="left" w:pos="-90" w:leader="none"/>
              </w:tabs>
              <w:snapToGrid w:val="false"/>
              <w:rPr>
                <w:b/>
                <w:sz w:val="22"/>
              </w:rPr>
            </w:pPr>
            <w:r>
              <w:rPr>
                <w:b/>
                <w:sz w:val="22"/>
              </w:rPr>
            </w:r>
          </w:p>
        </w:tc>
      </w:tr>
      <w:tr>
        <w:trPr/>
        <w:tc>
          <w:tcPr>
            <w:tcW w:w="1908" w:type="dxa"/>
            <w:tcBorders/>
          </w:tcPr>
          <w:p>
            <w:pPr>
              <w:pStyle w:val="Normal"/>
              <w:tabs>
                <w:tab w:val="clear" w:pos="720"/>
                <w:tab w:val="left" w:pos="-90" w:leader="none"/>
              </w:tabs>
              <w:rPr/>
            </w:pPr>
            <w:r>
              <w:rPr>
                <w:b/>
                <w:sz w:val="22"/>
              </w:rPr>
              <w:t>Registrable Status</w:t>
            </w:r>
            <w:r>
              <w:rPr>
                <w:sz w:val="22"/>
              </w:rPr>
              <w:t>:</w:t>
            </w:r>
          </w:p>
        </w:tc>
        <w:tc>
          <w:tcPr>
            <w:tcW w:w="6948" w:type="dxa"/>
            <w:tcBorders/>
          </w:tcPr>
          <w:p>
            <w:pPr>
              <w:pStyle w:val="Normal"/>
              <w:tabs>
                <w:tab w:val="clear" w:pos="720"/>
                <w:tab w:val="left" w:pos="-90" w:leader="none"/>
              </w:tabs>
              <w:rPr/>
            </w:pPr>
            <w:r>
              <w:rPr>
                <w:sz w:val="22"/>
              </w:rPr>
              <w:t>Registrable Securities (i) will cease to be Registrable Securities once a registration statement with respect to such securities has been declared effective and such securities are disposed of thereunder, and (ii) will be deemed not to be Registrable Securities at any time that the Put Stock is registered pursuant to Section 12 of the Securities Exchange Act of 1934, as amended, and all such securities owned by such party may be distributed to the public pursuant to Rule 144 under the Securities Act of 1933, as amended (the “</w:t>
            </w:r>
            <w:r>
              <w:rPr>
                <w:sz w:val="22"/>
                <w:u w:val="single"/>
              </w:rPr>
              <w:t>Securities Act</w:t>
            </w:r>
            <w:r>
              <w:rPr>
                <w:sz w:val="22"/>
              </w:rPr>
              <w:t>”), in one trading day.</w:t>
            </w:r>
          </w:p>
        </w:tc>
      </w:tr>
      <w:tr>
        <w:trPr/>
        <w:tc>
          <w:tcPr>
            <w:tcW w:w="1908" w:type="dxa"/>
            <w:tcBorders/>
          </w:tcPr>
          <w:p>
            <w:pPr>
              <w:pStyle w:val="Normal"/>
              <w:tabs>
                <w:tab w:val="clear" w:pos="720"/>
                <w:tab w:val="left" w:pos="-90" w:leader="none"/>
              </w:tabs>
              <w:snapToGrid w:val="false"/>
              <w:rPr>
                <w:sz w:val="22"/>
              </w:rPr>
            </w:pPr>
            <w:r>
              <w:rPr>
                <w:sz w:val="22"/>
              </w:rPr>
            </w:r>
          </w:p>
        </w:tc>
        <w:tc>
          <w:tcPr>
            <w:tcW w:w="6948" w:type="dxa"/>
            <w:tcBorders/>
          </w:tcPr>
          <w:p>
            <w:pPr>
              <w:pStyle w:val="Normal"/>
              <w:tabs>
                <w:tab w:val="clear" w:pos="720"/>
                <w:tab w:val="left" w:pos="-90" w:leader="none"/>
              </w:tabs>
              <w:snapToGrid w:val="false"/>
              <w:rPr>
                <w:sz w:val="22"/>
              </w:rPr>
            </w:pPr>
            <w:r>
              <w:rPr>
                <w:sz w:val="22"/>
              </w:rPr>
            </w:r>
          </w:p>
        </w:tc>
      </w:tr>
      <w:tr>
        <w:trPr/>
        <w:tc>
          <w:tcPr>
            <w:tcW w:w="1908" w:type="dxa"/>
            <w:tcBorders/>
          </w:tcPr>
          <w:p>
            <w:pPr>
              <w:pStyle w:val="Normal"/>
              <w:tabs>
                <w:tab w:val="clear" w:pos="720"/>
                <w:tab w:val="left" w:pos="-90" w:leader="none"/>
              </w:tabs>
              <w:rPr/>
            </w:pPr>
            <w:r>
              <w:rPr>
                <w:b/>
                <w:sz w:val="22"/>
              </w:rPr>
              <w:t>Demand Rights</w:t>
            </w:r>
            <w:r>
              <w:rPr>
                <w:sz w:val="22"/>
              </w:rPr>
              <w:t>:</w:t>
            </w:r>
          </w:p>
        </w:tc>
        <w:tc>
          <w:tcPr>
            <w:tcW w:w="6948" w:type="dxa"/>
            <w:tcBorders/>
          </w:tcPr>
          <w:p>
            <w:pPr>
              <w:pStyle w:val="Normal"/>
              <w:tabs>
                <w:tab w:val="clear" w:pos="720"/>
                <w:tab w:val="left" w:pos="-90" w:leader="none"/>
              </w:tabs>
              <w:rPr/>
            </w:pPr>
            <w:r>
              <w:rPr>
                <w:sz w:val="22"/>
              </w:rPr>
              <w:t>At any time, the holders of Registrable Securities (the “</w:t>
            </w:r>
            <w:r>
              <w:rPr>
                <w:sz w:val="22"/>
                <w:u w:val="single"/>
              </w:rPr>
              <w:t>Holders</w:t>
            </w:r>
            <w:r>
              <w:rPr>
                <w:sz w:val="22"/>
              </w:rPr>
              <w:t xml:space="preserve">”) will be entitled to an unlimited number of demand rights; </w:t>
            </w:r>
            <w:r>
              <w:rPr>
                <w:sz w:val="22"/>
                <w:u w:val="single"/>
              </w:rPr>
              <w:t>provided</w:t>
            </w:r>
            <w:r>
              <w:rPr>
                <w:sz w:val="22"/>
              </w:rPr>
              <w:t xml:space="preserve">, </w:t>
            </w:r>
            <w:r>
              <w:rPr>
                <w:sz w:val="22"/>
                <w:u w:val="single"/>
              </w:rPr>
              <w:t>however</w:t>
            </w:r>
            <w:r>
              <w:rPr>
                <w:sz w:val="22"/>
              </w:rPr>
              <w:t xml:space="preserve">, that the Issuer will not be required to effect any demand registration that would be required to be effected pursuant to a registration statement on Form S-1 within [twelve months] following the effective date of any other demand registration statement of the Issuer for which the parties to the registration rights agreement received piggyback rights and were able to sell shares thereunder.  The Issuer will be entitled to postpone the filing of any registration statement otherwise required to be prepared and filed by it if the board of directors of the Issuer determines, in its reasonable judgment, that such registration and offering would interfere with any financing, acquisition, corporate reorganization or other material transaction involving the Issuer and promptly gives the holder requesting registration written notice of such determination containing a general statement of the reasons for such postponement and an approximation of the anticipated delay; </w:t>
            </w:r>
            <w:r>
              <w:rPr>
                <w:sz w:val="22"/>
                <w:u w:val="single"/>
              </w:rPr>
              <w:t>provided</w:t>
            </w:r>
            <w:r>
              <w:rPr>
                <w:sz w:val="22"/>
              </w:rPr>
              <w:t xml:space="preserve">, </w:t>
            </w:r>
            <w:r>
              <w:rPr>
                <w:sz w:val="22"/>
                <w:u w:val="single"/>
              </w:rPr>
              <w:t>however</w:t>
            </w:r>
            <w:r>
              <w:rPr>
                <w:sz w:val="22"/>
              </w:rPr>
              <w:t>, that such postponement be for a reasonable period not in excess of ninety (90) days (the “</w:t>
            </w:r>
            <w:r>
              <w:rPr>
                <w:sz w:val="22"/>
                <w:u w:val="single"/>
              </w:rPr>
              <w:t>Postponement Period</w:t>
            </w:r>
            <w:r>
              <w:rPr>
                <w:sz w:val="22"/>
              </w:rPr>
              <w:t xml:space="preserve">”); </w:t>
            </w:r>
            <w:r>
              <w:rPr>
                <w:sz w:val="22"/>
                <w:u w:val="single"/>
              </w:rPr>
              <w:t>provided</w:t>
            </w:r>
            <w:r>
              <w:rPr>
                <w:sz w:val="22"/>
              </w:rPr>
              <w:t xml:space="preserve"> </w:t>
            </w:r>
            <w:r>
              <w:rPr>
                <w:sz w:val="22"/>
                <w:u w:val="single"/>
              </w:rPr>
              <w:t>further</w:t>
            </w:r>
            <w:r>
              <w:rPr>
                <w:sz w:val="22"/>
              </w:rPr>
              <w:t xml:space="preserve"> that the Postponement Period may be extended for an additional period not in excess of ninety (90) days if the board of directors of the Issuer determines, in its reasonable judgment, that such additional postponement is necessary to avoid interfering with any financing, acquisition, corporate reorganization or other material transaction involving the Issuer and gives the participating holders written notice of such determination.</w:t>
            </w:r>
          </w:p>
        </w:tc>
      </w:tr>
      <w:tr>
        <w:trPr/>
        <w:tc>
          <w:tcPr>
            <w:tcW w:w="1908" w:type="dxa"/>
            <w:tcBorders/>
          </w:tcPr>
          <w:p>
            <w:pPr>
              <w:pStyle w:val="Normal"/>
              <w:tabs>
                <w:tab w:val="clear" w:pos="720"/>
                <w:tab w:val="left" w:pos="-90" w:leader="none"/>
              </w:tabs>
              <w:snapToGrid w:val="false"/>
              <w:rPr>
                <w:sz w:val="22"/>
              </w:rPr>
            </w:pPr>
            <w:r>
              <w:rPr>
                <w:sz w:val="22"/>
              </w:rPr>
            </w:r>
          </w:p>
        </w:tc>
        <w:tc>
          <w:tcPr>
            <w:tcW w:w="6948" w:type="dxa"/>
            <w:tcBorders/>
          </w:tcPr>
          <w:p>
            <w:pPr>
              <w:pStyle w:val="Normal"/>
              <w:tabs>
                <w:tab w:val="clear" w:pos="720"/>
                <w:tab w:val="left" w:pos="-90" w:leader="none"/>
              </w:tabs>
              <w:snapToGrid w:val="false"/>
              <w:rPr>
                <w:sz w:val="22"/>
              </w:rPr>
            </w:pPr>
            <w:r>
              <w:rPr>
                <w:sz w:val="22"/>
              </w:rPr>
            </w:r>
          </w:p>
        </w:tc>
      </w:tr>
      <w:tr>
        <w:trPr/>
        <w:tc>
          <w:tcPr>
            <w:tcW w:w="1908" w:type="dxa"/>
            <w:tcBorders/>
          </w:tcPr>
          <w:p>
            <w:pPr>
              <w:pStyle w:val="Normal"/>
              <w:tabs>
                <w:tab w:val="clear" w:pos="720"/>
                <w:tab w:val="left" w:pos="-90" w:leader="none"/>
              </w:tabs>
              <w:rPr/>
            </w:pPr>
            <w:r>
              <w:rPr>
                <w:b/>
                <w:sz w:val="22"/>
              </w:rPr>
              <w:t>Piggyback Rights</w:t>
            </w:r>
            <w:r>
              <w:rPr>
                <w:sz w:val="22"/>
              </w:rPr>
              <w:t>:</w:t>
            </w:r>
          </w:p>
        </w:tc>
        <w:tc>
          <w:tcPr>
            <w:tcW w:w="6948" w:type="dxa"/>
            <w:tcBorders/>
          </w:tcPr>
          <w:p>
            <w:pPr>
              <w:pStyle w:val="Normal"/>
              <w:tabs>
                <w:tab w:val="clear" w:pos="720"/>
                <w:tab w:val="left" w:pos="-90" w:leader="none"/>
              </w:tabs>
              <w:rPr/>
            </w:pPr>
            <w:r>
              <w:rPr>
                <w:sz w:val="22"/>
              </w:rPr>
              <w:t xml:space="preserve">Each Holder will be entitled to unlimited piggyback rights.  The Issuer will be entitled to postpone the filing of any registration statement otherwise required to be prepared and filed by it if the board of directors of the Issuer determines, in its reasonable judgment, that such registration and offering would interfere with any financing, acquisition, corporate reorganization or other material transaction involving the Issuer and gives the participating Holders written notice of such determination; </w:t>
            </w:r>
            <w:r>
              <w:rPr>
                <w:sz w:val="22"/>
                <w:u w:val="single"/>
              </w:rPr>
              <w:t>provided</w:t>
            </w:r>
            <w:r>
              <w:rPr>
                <w:sz w:val="22"/>
              </w:rPr>
              <w:t xml:space="preserve">, </w:t>
            </w:r>
            <w:r>
              <w:rPr>
                <w:sz w:val="22"/>
                <w:u w:val="single"/>
              </w:rPr>
              <w:t>however</w:t>
            </w:r>
            <w:r>
              <w:rPr>
                <w:sz w:val="22"/>
              </w:rPr>
              <w:t>, that such postponement be for a reasonable period not in excess of ninety (90) days (the “</w:t>
            </w:r>
            <w:r>
              <w:rPr>
                <w:sz w:val="22"/>
                <w:u w:val="single"/>
              </w:rPr>
              <w:t>Piggyback Postponement</w:t>
            </w:r>
            <w:r>
              <w:rPr>
                <w:sz w:val="22"/>
              </w:rPr>
              <w:t xml:space="preserve">”); </w:t>
            </w:r>
            <w:r>
              <w:rPr>
                <w:sz w:val="22"/>
                <w:u w:val="single"/>
              </w:rPr>
              <w:t>provided</w:t>
            </w:r>
            <w:r>
              <w:rPr>
                <w:sz w:val="22"/>
              </w:rPr>
              <w:t xml:space="preserve"> </w:t>
            </w:r>
            <w:r>
              <w:rPr>
                <w:sz w:val="22"/>
                <w:u w:val="single"/>
              </w:rPr>
              <w:t>further</w:t>
            </w:r>
            <w:r>
              <w:rPr>
                <w:sz w:val="22"/>
              </w:rPr>
              <w:t xml:space="preserve"> that the Piggyback Postponement may be extended for an additional period not in excess of ninety (90) days if the board of directors of the Issuer determines, in its reasonable judgment, that such additional postponement is necessary to avoid interfering with any financing, acquisition, corporate reorganization or other material transaction involving the Issuer and gives the participating holders written notice of such determination.  If in the opinion of the underwriter for the offering the registration of all, or part, of the Registrable Securities which the Holders have requested to be included would materially and adversely affect such public offering, then the Issuer will be required to include in the underwriting only that amount of Registrable Securities, if any, which such underwriter believes may be sold without causing such material and adverse effect.  If the amount of Registrable Securities to be included in the underwriting in accordance with the foregoing is less than the total number of shares which the Holders have requested to be included, then, if the registration giving rise to the piggyback rights was initiated by a Holder exercising its demand rights, such registration will include all Registrable Securities proposed to be sold by such initiating Holder, and then the Holders who have requested registration pursuant to their piggyback rights will be able participate in the underwriting pro rata based upon their total ownership of the Registrable Securities.</w:t>
            </w:r>
          </w:p>
        </w:tc>
      </w:tr>
      <w:tr>
        <w:trPr/>
        <w:tc>
          <w:tcPr>
            <w:tcW w:w="1908" w:type="dxa"/>
            <w:tcBorders/>
          </w:tcPr>
          <w:p>
            <w:pPr>
              <w:pStyle w:val="Normal"/>
              <w:tabs>
                <w:tab w:val="clear" w:pos="720"/>
                <w:tab w:val="left" w:pos="-90" w:leader="none"/>
              </w:tabs>
              <w:snapToGrid w:val="false"/>
              <w:rPr>
                <w:sz w:val="22"/>
              </w:rPr>
            </w:pPr>
            <w:r>
              <w:rPr>
                <w:sz w:val="22"/>
              </w:rPr>
            </w:r>
          </w:p>
        </w:tc>
        <w:tc>
          <w:tcPr>
            <w:tcW w:w="6948" w:type="dxa"/>
            <w:tcBorders/>
          </w:tcPr>
          <w:p>
            <w:pPr>
              <w:pStyle w:val="Normal"/>
              <w:tabs>
                <w:tab w:val="clear" w:pos="720"/>
                <w:tab w:val="left" w:pos="-90" w:leader="none"/>
              </w:tabs>
              <w:snapToGrid w:val="false"/>
              <w:rPr>
                <w:sz w:val="22"/>
              </w:rPr>
            </w:pPr>
            <w:r>
              <w:rPr>
                <w:sz w:val="22"/>
              </w:rPr>
            </w:r>
          </w:p>
        </w:tc>
      </w:tr>
      <w:tr>
        <w:trPr/>
        <w:tc>
          <w:tcPr>
            <w:tcW w:w="1908" w:type="dxa"/>
            <w:tcBorders/>
          </w:tcPr>
          <w:p>
            <w:pPr>
              <w:pStyle w:val="Normal"/>
              <w:tabs>
                <w:tab w:val="clear" w:pos="720"/>
                <w:tab w:val="left" w:pos="-90" w:leader="none"/>
              </w:tabs>
              <w:rPr/>
            </w:pPr>
            <w:r>
              <w:rPr>
                <w:b/>
                <w:sz w:val="22"/>
              </w:rPr>
              <w:t>Registration Expenses</w:t>
            </w:r>
            <w:r>
              <w:rPr>
                <w:sz w:val="22"/>
              </w:rPr>
              <w:t>:</w:t>
            </w:r>
          </w:p>
        </w:tc>
        <w:tc>
          <w:tcPr>
            <w:tcW w:w="6948" w:type="dxa"/>
            <w:tcBorders/>
          </w:tcPr>
          <w:p>
            <w:pPr>
              <w:pStyle w:val="Normal"/>
              <w:tabs>
                <w:tab w:val="clear" w:pos="720"/>
                <w:tab w:val="left" w:pos="-90" w:leader="none"/>
              </w:tabs>
              <w:rPr>
                <w:sz w:val="22"/>
              </w:rPr>
            </w:pPr>
            <w:r>
              <w:rPr>
                <w:sz w:val="22"/>
              </w:rPr>
              <w:t>Registration expenses will be borne by the Issuer.</w:t>
            </w:r>
          </w:p>
        </w:tc>
      </w:tr>
      <w:tr>
        <w:trPr/>
        <w:tc>
          <w:tcPr>
            <w:tcW w:w="1908" w:type="dxa"/>
            <w:tcBorders/>
          </w:tcPr>
          <w:p>
            <w:pPr>
              <w:pStyle w:val="Normal"/>
              <w:tabs>
                <w:tab w:val="clear" w:pos="720"/>
                <w:tab w:val="left" w:pos="-90" w:leader="none"/>
              </w:tabs>
              <w:snapToGrid w:val="false"/>
              <w:rPr>
                <w:sz w:val="22"/>
              </w:rPr>
            </w:pPr>
            <w:r>
              <w:rPr>
                <w:sz w:val="22"/>
              </w:rPr>
            </w:r>
          </w:p>
        </w:tc>
        <w:tc>
          <w:tcPr>
            <w:tcW w:w="6948" w:type="dxa"/>
            <w:tcBorders/>
          </w:tcPr>
          <w:p>
            <w:pPr>
              <w:pStyle w:val="Normal"/>
              <w:tabs>
                <w:tab w:val="clear" w:pos="720"/>
                <w:tab w:val="left" w:pos="-90" w:leader="none"/>
              </w:tabs>
              <w:snapToGrid w:val="false"/>
              <w:rPr>
                <w:sz w:val="22"/>
              </w:rPr>
            </w:pPr>
            <w:r>
              <w:rPr>
                <w:sz w:val="22"/>
              </w:rPr>
            </w:r>
          </w:p>
        </w:tc>
      </w:tr>
      <w:tr>
        <w:trPr/>
        <w:tc>
          <w:tcPr>
            <w:tcW w:w="1908" w:type="dxa"/>
            <w:tcBorders/>
          </w:tcPr>
          <w:p>
            <w:pPr>
              <w:pStyle w:val="Normal"/>
              <w:tabs>
                <w:tab w:val="clear" w:pos="720"/>
                <w:tab w:val="left" w:pos="-90" w:leader="none"/>
              </w:tabs>
              <w:rPr/>
            </w:pPr>
            <w:r>
              <w:rPr>
                <w:b/>
                <w:sz w:val="22"/>
              </w:rPr>
              <w:t>Underwriter</w:t>
            </w:r>
            <w:r>
              <w:rPr>
                <w:sz w:val="22"/>
              </w:rPr>
              <w:t>:</w:t>
            </w:r>
          </w:p>
        </w:tc>
        <w:tc>
          <w:tcPr>
            <w:tcW w:w="6948" w:type="dxa"/>
            <w:tcBorders/>
          </w:tcPr>
          <w:p>
            <w:pPr>
              <w:pStyle w:val="Normal"/>
              <w:tabs>
                <w:tab w:val="clear" w:pos="720"/>
                <w:tab w:val="left" w:pos="-90" w:leader="none"/>
              </w:tabs>
              <w:rPr/>
            </w:pPr>
            <w:r>
              <w:rPr>
                <w:sz w:val="22"/>
              </w:rPr>
              <w:t xml:space="preserve">The underwriter to be used by the Issuer in an offering, including an offering pursuant to a demand registration, will be selected by the Issuer; </w:t>
            </w:r>
            <w:r>
              <w:rPr>
                <w:sz w:val="22"/>
                <w:u w:val="single"/>
              </w:rPr>
              <w:t>provided</w:t>
            </w:r>
            <w:r>
              <w:rPr>
                <w:sz w:val="22"/>
              </w:rPr>
              <w:t xml:space="preserve">, </w:t>
            </w:r>
            <w:r>
              <w:rPr>
                <w:sz w:val="22"/>
                <w:u w:val="single"/>
              </w:rPr>
              <w:t>however</w:t>
            </w:r>
            <w:r>
              <w:rPr>
                <w:sz w:val="22"/>
              </w:rPr>
              <w:t>, that, in the case of a demand registration, such underwriter must be acceptable to the Holder or Holders initiating such demand registration.</w:t>
            </w:r>
          </w:p>
        </w:tc>
      </w:tr>
      <w:tr>
        <w:trPr/>
        <w:tc>
          <w:tcPr>
            <w:tcW w:w="1908" w:type="dxa"/>
            <w:tcBorders/>
          </w:tcPr>
          <w:p>
            <w:pPr>
              <w:pStyle w:val="Normal"/>
              <w:tabs>
                <w:tab w:val="clear" w:pos="720"/>
                <w:tab w:val="left" w:pos="-90" w:leader="none"/>
              </w:tabs>
              <w:snapToGrid w:val="false"/>
              <w:rPr>
                <w:b/>
                <w:sz w:val="22"/>
              </w:rPr>
            </w:pPr>
            <w:r>
              <w:rPr>
                <w:b/>
                <w:sz w:val="22"/>
              </w:rPr>
            </w:r>
          </w:p>
        </w:tc>
        <w:tc>
          <w:tcPr>
            <w:tcW w:w="6948" w:type="dxa"/>
            <w:tcBorders/>
          </w:tcPr>
          <w:p>
            <w:pPr>
              <w:pStyle w:val="Normal"/>
              <w:tabs>
                <w:tab w:val="clear" w:pos="720"/>
                <w:tab w:val="left" w:pos="-90" w:leader="none"/>
              </w:tabs>
              <w:snapToGrid w:val="false"/>
              <w:rPr>
                <w:b/>
                <w:sz w:val="22"/>
              </w:rPr>
            </w:pPr>
            <w:r>
              <w:rPr>
                <w:b/>
                <w:sz w:val="22"/>
              </w:rPr>
            </w:r>
          </w:p>
        </w:tc>
      </w:tr>
      <w:tr>
        <w:trPr/>
        <w:tc>
          <w:tcPr>
            <w:tcW w:w="1908" w:type="dxa"/>
            <w:tcBorders/>
          </w:tcPr>
          <w:p>
            <w:pPr>
              <w:pStyle w:val="Normal"/>
              <w:tabs>
                <w:tab w:val="clear" w:pos="720"/>
                <w:tab w:val="left" w:pos="-90" w:leader="none"/>
              </w:tabs>
              <w:rPr>
                <w:b/>
                <w:sz w:val="22"/>
              </w:rPr>
            </w:pPr>
            <w:r>
              <w:rPr>
                <w:b/>
                <w:sz w:val="22"/>
              </w:rPr>
              <w:t>Holdback:</w:t>
            </w:r>
          </w:p>
        </w:tc>
        <w:tc>
          <w:tcPr>
            <w:tcW w:w="6948" w:type="dxa"/>
            <w:tcBorders/>
          </w:tcPr>
          <w:p>
            <w:pPr>
              <w:pStyle w:val="Normal"/>
              <w:tabs>
                <w:tab w:val="clear" w:pos="720"/>
                <w:tab w:val="left" w:pos="-90" w:leader="none"/>
              </w:tabs>
              <w:rPr>
                <w:sz w:val="22"/>
              </w:rPr>
            </w:pPr>
            <w:r>
              <w:rPr>
                <w:sz w:val="22"/>
              </w:rPr>
              <w:t>Each Holder will agree not to effect any public sale or distribution of any Registrable Securities being registered or of any securities convertible into or exchangeable or exercisable for such Registrable Securities, including a sale pursuant to Rule 144 under the Securities Act, during the ninety (90) day period beginning on the effective date of the registration statement relating to such registration (except as part of such registration), if to the extent requested by the underwriter for the offering in the case of an underwritten public offering.</w:t>
            </w:r>
          </w:p>
        </w:tc>
      </w:tr>
      <w:tr>
        <w:trPr/>
        <w:tc>
          <w:tcPr>
            <w:tcW w:w="1908" w:type="dxa"/>
            <w:tcBorders/>
          </w:tcPr>
          <w:p>
            <w:pPr>
              <w:pStyle w:val="Normal"/>
              <w:tabs>
                <w:tab w:val="clear" w:pos="720"/>
                <w:tab w:val="left" w:pos="-90" w:leader="none"/>
              </w:tabs>
              <w:snapToGrid w:val="false"/>
              <w:rPr>
                <w:b/>
                <w:sz w:val="22"/>
              </w:rPr>
            </w:pPr>
            <w:r>
              <w:rPr>
                <w:b/>
                <w:sz w:val="22"/>
              </w:rPr>
            </w:r>
          </w:p>
        </w:tc>
        <w:tc>
          <w:tcPr>
            <w:tcW w:w="6948" w:type="dxa"/>
            <w:tcBorders/>
          </w:tcPr>
          <w:p>
            <w:pPr>
              <w:pStyle w:val="Normal"/>
              <w:tabs>
                <w:tab w:val="clear" w:pos="720"/>
                <w:tab w:val="left" w:pos="-90" w:leader="none"/>
              </w:tabs>
              <w:snapToGrid w:val="false"/>
              <w:rPr>
                <w:b/>
                <w:sz w:val="22"/>
              </w:rPr>
            </w:pPr>
            <w:r>
              <w:rPr>
                <w:b/>
                <w:sz w:val="22"/>
              </w:rPr>
            </w:r>
          </w:p>
        </w:tc>
      </w:tr>
      <w:tr>
        <w:trPr/>
        <w:tc>
          <w:tcPr>
            <w:tcW w:w="1908" w:type="dxa"/>
            <w:tcBorders/>
          </w:tcPr>
          <w:p>
            <w:pPr>
              <w:pStyle w:val="Normal"/>
              <w:tabs>
                <w:tab w:val="clear" w:pos="720"/>
                <w:tab w:val="left" w:pos="-90" w:leader="none"/>
              </w:tabs>
              <w:snapToGrid w:val="false"/>
              <w:rPr>
                <w:b/>
                <w:sz w:val="22"/>
              </w:rPr>
            </w:pPr>
            <w:r>
              <w:rPr>
                <w:b/>
                <w:sz w:val="22"/>
              </w:rPr>
            </w:r>
          </w:p>
        </w:tc>
        <w:tc>
          <w:tcPr>
            <w:tcW w:w="6948" w:type="dxa"/>
            <w:tcBorders/>
          </w:tcPr>
          <w:p>
            <w:pPr>
              <w:pStyle w:val="Normal"/>
              <w:tabs>
                <w:tab w:val="clear" w:pos="720"/>
                <w:tab w:val="left" w:pos="-90" w:leader="none"/>
              </w:tabs>
              <w:rPr>
                <w:sz w:val="22"/>
              </w:rPr>
            </w:pPr>
            <w:r>
              <w:rPr>
                <w:sz w:val="22"/>
              </w:rPr>
              <w:t>The Issuer will agree not to effect any public sale or distribution of any of its securities, or any securities convertible into or exchangeable or exercisable for such securities (except pursuant to registrations on Form S</w:t>
              <w:noBreakHyphen/>
              <w:t>4 or S</w:t>
              <w:noBreakHyphen/>
              <w:t>8 or any successor forms thereto), during the period beginning on the effective date of any registration statement in which the holders of Registrable Securities are participating and ending on the earlier of (i) the date on which all shares of common stock registered on such registration statement are sold and (ii) the date that is ninety (90) days after the effective date of such registration statement.</w:t>
            </w:r>
          </w:p>
        </w:tc>
      </w:tr>
      <w:tr>
        <w:trPr/>
        <w:tc>
          <w:tcPr>
            <w:tcW w:w="1908" w:type="dxa"/>
            <w:tcBorders/>
          </w:tcPr>
          <w:p>
            <w:pPr>
              <w:pStyle w:val="Normal"/>
              <w:tabs>
                <w:tab w:val="clear" w:pos="720"/>
                <w:tab w:val="left" w:pos="-90" w:leader="none"/>
              </w:tabs>
              <w:snapToGrid w:val="false"/>
              <w:rPr>
                <w:b/>
                <w:sz w:val="22"/>
              </w:rPr>
            </w:pPr>
            <w:r>
              <w:rPr>
                <w:b/>
                <w:sz w:val="22"/>
              </w:rPr>
            </w:r>
          </w:p>
        </w:tc>
        <w:tc>
          <w:tcPr>
            <w:tcW w:w="6948" w:type="dxa"/>
            <w:tcBorders/>
          </w:tcPr>
          <w:p>
            <w:pPr>
              <w:pStyle w:val="Normal"/>
              <w:tabs>
                <w:tab w:val="clear" w:pos="720"/>
                <w:tab w:val="left" w:pos="-90" w:leader="none"/>
              </w:tabs>
              <w:snapToGrid w:val="false"/>
              <w:rPr>
                <w:b/>
                <w:sz w:val="22"/>
              </w:rPr>
            </w:pPr>
            <w:r>
              <w:rPr>
                <w:b/>
                <w:sz w:val="22"/>
              </w:rPr>
            </w:r>
          </w:p>
        </w:tc>
      </w:tr>
      <w:tr>
        <w:trPr/>
        <w:tc>
          <w:tcPr>
            <w:tcW w:w="1908" w:type="dxa"/>
            <w:tcBorders/>
          </w:tcPr>
          <w:p>
            <w:pPr>
              <w:pStyle w:val="Normal"/>
              <w:tabs>
                <w:tab w:val="clear" w:pos="720"/>
                <w:tab w:val="left" w:pos="-90" w:leader="none"/>
              </w:tabs>
              <w:rPr>
                <w:b/>
                <w:sz w:val="22"/>
              </w:rPr>
            </w:pPr>
            <w:r>
              <w:rPr>
                <w:b/>
                <w:sz w:val="22"/>
              </w:rPr>
              <w:t>Indemnity:</w:t>
            </w:r>
          </w:p>
        </w:tc>
        <w:tc>
          <w:tcPr>
            <w:tcW w:w="6948" w:type="dxa"/>
            <w:tcBorders/>
          </w:tcPr>
          <w:p>
            <w:pPr>
              <w:pStyle w:val="Normal"/>
              <w:tabs>
                <w:tab w:val="clear" w:pos="720"/>
                <w:tab w:val="left" w:pos="-90" w:leader="none"/>
              </w:tabs>
              <w:rPr>
                <w:sz w:val="22"/>
              </w:rPr>
            </w:pPr>
            <w:r>
              <w:rPr>
                <w:sz w:val="22"/>
              </w:rPr>
              <w:t>The definitive agreement will contain customary indemnification and contribution provisions.</w:t>
            </w:r>
          </w:p>
        </w:tc>
      </w:tr>
    </w:tbl>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6"/>
      <w:headerReference w:type="first" r:id="rId7"/>
      <w:footerReference w:type="default" r:id="rId8"/>
      <w:footerReference w:type="first" r:id="rId9"/>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/mnt/main-storage/datasets/enron-docs/doc/nq4d04_.DOC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NY2:\1106941\04\nq4d04!.DOC\43889.0003</w:t>
    </w:r>
    <w:r>
      <w:rPr>
        <w:rStyle w:val="TrailerWGM"/>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NY2:\1106941\04\nq4d04!.DOC\43889.0003</w:t>
    </w:r>
    <w:r>
      <w:rPr>
        <w:rStyle w:val="TrailerWGM"/>
      </w:rPr>
      <w:fldChar w:fldCharType="end"/>
    </w:r>
    <w:r>
      <w:rPr>
        <w:rStyle w:val="TrailerWGM"/>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28</w:t>
    </w:r>
    <w:r>
      <w:rPr>
        <w:rStyle w:val="PageNumber"/>
        <w:sz w:val="2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NY2:\1106941\04\nq4d04!.DOC\43889.0003</w:t>
    </w:r>
    <w:r>
      <w:rPr>
        <w:rStyle w:val="TrailerWGM"/>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u w:val="single"/>
      </w:rPr>
      <w:t>WGM DRAFT</w:t>
    </w:r>
    <w:r>
      <w:rPr>
        <w:b/>
      </w:rPr>
      <w:t>:</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u w:val="single"/>
      </w:rPr>
      <w:t>WGM DRAFT</w:t>
    </w:r>
    <w:r>
      <w:rPr>
        <w:b/>
      </w:rPr>
      <w:t>:</w:t>
    </w:r>
    <w:r>
      <w:rPr>
        <w:b/>
      </w:rPr>
      <w:fldChar w:fldCharType="begin"/>
    </w:r>
    <w:r>
      <w:rPr>
        <w:b/>
      </w:rPr>
      <w:instrText xml:space="preserve"> DATE \@"MM\/dd\/yy" </w:instrText>
    </w:r>
    <w:r>
      <w:rPr>
        <w:b/>
      </w:rPr>
      <w:fldChar w:fldCharType="separate"/>
    </w:r>
    <w:r>
      <w:rPr>
        <w:b/>
      </w:rPr>
      <w:t>09/28/25</w:t>
    </w:r>
    <w:r>
      <w:rPr>
        <w:b/>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Letter"/>
      <w:lvlText w:val="%1."/>
      <w:lvlJc w:val="start"/>
      <w:pPr>
        <w:tabs>
          <w:tab w:val="num" w:pos="360"/>
        </w:tabs>
        <w:ind w:start="360" w:hanging="360"/>
      </w:p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decimal"/>
      <w:lvlText w:val="%1.0"/>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7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upperLetter"/>
      <w:lvlText w:val="%1."/>
      <w:lvlJc w:val="start"/>
      <w:pPr>
        <w:tabs>
          <w:tab w:val="num" w:pos="360"/>
        </w:tabs>
        <w:ind w:start="360" w:hanging="360"/>
      </w:pPr>
    </w:lvl>
  </w:abstractNum>
  <w:abstractNum w:abstractNumId="16">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keepNext w:val="true"/>
      <w:numPr>
        <w:ilvl w:val="4"/>
        <w:numId w:val="1"/>
      </w:numPr>
      <w:tabs>
        <w:tab w:val="clear" w:pos="720"/>
        <w:tab w:val="left" w:pos="-720" w:leader="none"/>
      </w:tabs>
      <w:suppressAutoHyphens w:val="true"/>
      <w:spacing w:before="90" w:after="54"/>
      <w:jc w:val="both"/>
      <w:outlineLvl w:val="4"/>
    </w:pPr>
    <w:rPr>
      <w:b/>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5z0">
    <w:name w:val="WW8Num15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TrailerWGM">
    <w:name w:val="Trailer WGM"/>
    <w:basedOn w:val="DefaultParagraphFont"/>
    <w:qFormat/>
    <w:rPr>
      <w:caps/>
      <w:sz w:val="14"/>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1"/>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6"/>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3"/>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5"/>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2"/>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0"/>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9"/>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CA" w:eastAsia="zh-CN" w:bidi="hi-IN"/>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4"/>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EnvelopeReturn">
    <w:name w:val="envelope return"/>
    <w:basedOn w:val="Normal"/>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andardL1">
    <w:name w:val="Standard_L1"/>
    <w:basedOn w:val="Normal"/>
    <w:next w:val="Normal"/>
    <w:qFormat/>
    <w:pPr>
      <w:numPr>
        <w:ilvl w:val="0"/>
        <w:numId w:val="14"/>
      </w:numPr>
      <w:spacing w:before="0" w:after="240"/>
      <w:outlineLvl w:val="0"/>
    </w:pPr>
    <w:rPr/>
  </w:style>
  <w:style w:type="paragraph" w:styleId="StandardL2">
    <w:name w:val="Standard_L2"/>
    <w:basedOn w:val="StandardL1"/>
    <w:next w:val="Normal"/>
    <w:qFormat/>
    <w:pPr>
      <w:numPr>
        <w:ilvl w:val="0"/>
        <w:numId w:val="14"/>
      </w:numPr>
      <w:tabs>
        <w:tab w:val="clear" w:pos="720"/>
        <w:tab w:val="left" w:pos="360" w:leader="none"/>
      </w:tabs>
      <w:outlineLvl w:val="1"/>
    </w:pPr>
    <w:rPr/>
  </w:style>
  <w:style w:type="paragraph" w:styleId="StandardL3">
    <w:name w:val="Standard_L3"/>
    <w:basedOn w:val="StandardL2"/>
    <w:next w:val="Normal"/>
    <w:qFormat/>
    <w:pPr>
      <w:numPr>
        <w:ilvl w:val="0"/>
        <w:numId w:val="14"/>
      </w:numPr>
      <w:outlineLvl w:val="2"/>
    </w:pPr>
    <w:rPr/>
  </w:style>
  <w:style w:type="paragraph" w:styleId="StandardL4">
    <w:name w:val="Standard_L4"/>
    <w:basedOn w:val="StandardL3"/>
    <w:next w:val="Normal"/>
    <w:qFormat/>
    <w:pPr>
      <w:numPr>
        <w:ilvl w:val="0"/>
        <w:numId w:val="14"/>
      </w:numPr>
      <w:outlineLvl w:val="3"/>
    </w:pPr>
    <w:rPr/>
  </w:style>
  <w:style w:type="paragraph" w:styleId="StandardL5">
    <w:name w:val="Standard_L5"/>
    <w:basedOn w:val="StandardL4"/>
    <w:next w:val="Normal"/>
    <w:qFormat/>
    <w:pPr>
      <w:numPr>
        <w:ilvl w:val="0"/>
        <w:numId w:val="14"/>
      </w:numPr>
      <w:outlineLvl w:val="4"/>
    </w:pPr>
    <w:rPr/>
  </w:style>
  <w:style w:type="paragraph" w:styleId="StandardL6">
    <w:name w:val="Standard_L6"/>
    <w:basedOn w:val="StandardL5"/>
    <w:next w:val="Normal"/>
    <w:qFormat/>
    <w:pPr>
      <w:numPr>
        <w:ilvl w:val="0"/>
        <w:numId w:val="14"/>
      </w:numPr>
      <w:outlineLvl w:val="5"/>
    </w:pPr>
    <w:rPr/>
  </w:style>
  <w:style w:type="paragraph" w:styleId="StandardL7">
    <w:name w:val="Standard_L7"/>
    <w:basedOn w:val="StandardL6"/>
    <w:next w:val="Normal"/>
    <w:qFormat/>
    <w:pPr>
      <w:numPr>
        <w:ilvl w:val="0"/>
        <w:numId w:val="14"/>
      </w:numPr>
      <w:tabs>
        <w:tab w:val="left" w:pos="360" w:leader="none"/>
        <w:tab w:val="left" w:pos="5040" w:leader="none"/>
      </w:tabs>
      <w:outlineLvl w:val="6"/>
    </w:pPr>
    <w:rPr/>
  </w:style>
  <w:style w:type="paragraph" w:styleId="StandardL8">
    <w:name w:val="Standard_L8"/>
    <w:basedOn w:val="StandardL7"/>
    <w:next w:val="Normal"/>
    <w:qFormat/>
    <w:pPr>
      <w:numPr>
        <w:ilvl w:val="0"/>
        <w:numId w:val="14"/>
      </w:numPr>
      <w:tabs>
        <w:tab w:val="clear" w:pos="5040"/>
        <w:tab w:val="left" w:pos="360" w:leader="none"/>
        <w:tab w:val="left" w:pos="5760" w:leader="none"/>
      </w:tabs>
      <w:outlineLvl w:val="7"/>
    </w:pPr>
    <w:rPr/>
  </w:style>
  <w:style w:type="paragraph" w:styleId="StandardL9">
    <w:name w:val="Standard_L9"/>
    <w:basedOn w:val="StandardL8"/>
    <w:next w:val="Normal"/>
    <w:qFormat/>
    <w:pPr>
      <w:numPr>
        <w:ilvl w:val="0"/>
        <w:numId w:val="14"/>
      </w:numPr>
      <w:tabs>
        <w:tab w:val="clear" w:pos="5760"/>
        <w:tab w:val="left" w:pos="360" w:leader="none"/>
      </w:tabs>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2001-12-14T15:39:00Z</dcterms:created>
  <dc:creator>WGM</dc:creator>
  <dc:description/>
  <cp:keywords>DocsOpen Name: #1106941 v4 - Netco L.P. -- template</cp:keywords>
  <dc:language>en-CA</dc:language>
  <cp:lastModifiedBy>GEWANTER</cp:lastModifiedBy>
  <cp:lastPrinted>2001-12-14T13:28:00Z</cp:lastPrinted>
  <dcterms:modified xsi:type="dcterms:W3CDTF">2001-12-14T15:58:00Z</dcterms:modified>
  <cp:revision>10</cp:revision>
  <dc:subject>DocsOpen Loc:G:\DATA\NY2\GEWANTER\AGR\nq4d04!.DOC</dc:subject>
  <dc:title>Local: C:\windows\TEMP\62t901.DOC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NY2:\1106941\04\nq4d04!.DOC\43889.0003</vt:lpwstr>
  </property>
</Properties>
</file>