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bookmarkStart w:id="0" w:name="zzmpPleading_Bankruptcy"/>
      <w:bookmarkEnd w:id="0"/>
      <w:r>
        <w:rPr/>
        <w:t>WEIL, GOTSHAL &amp; MANGES LLP</w:t>
      </w:r>
    </w:p>
    <w:p>
      <w:pPr>
        <w:pStyle w:val="Normal"/>
        <w:rPr>
          <w:caps/>
        </w:rPr>
      </w:pPr>
      <w:r>
        <w:rPr/>
        <w:t>Attorneys for the Debtors</w:t>
      </w:r>
    </w:p>
    <w:p>
      <w:pPr>
        <w:pStyle w:val="Normal"/>
        <w:rPr>
          <w:caps/>
        </w:rPr>
      </w:pPr>
      <w:r>
        <w:rPr/>
        <w:t>767 Fifth Avenue</w:t>
      </w:r>
    </w:p>
    <w:p>
      <w:pPr>
        <w:pStyle w:val="Normal"/>
        <w:rPr>
          <w:caps/>
        </w:rPr>
      </w:pPr>
      <w:r>
        <w:rPr/>
        <w:t>New York, New York 10153</w:t>
      </w:r>
    </w:p>
    <w:p>
      <w:pPr>
        <w:pStyle w:val="Normal"/>
        <w:rPr>
          <w:caps/>
        </w:rPr>
      </w:pPr>
      <w:r>
        <w:rPr/>
        <w:t>(212) 310-8000</w:t>
      </w:r>
    </w:p>
    <w:p>
      <w:pPr>
        <w:pStyle w:val="Normal"/>
        <w:rPr>
          <w:caps/>
        </w:rPr>
      </w:pPr>
      <w:r>
        <w:rPr/>
        <w:t>Martin J. Bienenstock (MB 3001)</w:t>
      </w:r>
    </w:p>
    <w:p>
      <w:pPr>
        <w:pStyle w:val="Normal"/>
        <w:rPr/>
      </w:pPr>
      <w:r>
        <w:rPr/>
        <w:t>Brian S. Rosen (BR 0571)</w:t>
      </w:r>
    </w:p>
    <w:p>
      <w:pPr>
        <w:pStyle w:val="Normal"/>
        <w:rPr/>
      </w:pPr>
      <w:r>
        <w:rPr/>
      </w:r>
    </w:p>
    <w:p>
      <w:pPr>
        <w:pStyle w:val="Heading"/>
        <w:jc w:val="start"/>
        <w:rPr/>
      </w:pPr>
      <w:r>
        <w:rPr/>
        <w:t>UNITED STATES BANKRUPTCY COURT</w:t>
        <w:br/>
        <w:t>SOUTHERN DISTRICT OF NEW YORK</w:t>
      </w:r>
    </w:p>
    <w:tbl>
      <w:tblPr>
        <w:tblW w:w="8856" w:type="dxa"/>
        <w:jc w:val="start"/>
        <w:tblInd w:w="0" w:type="dxa"/>
        <w:tblLayout w:type="fixed"/>
        <w:tblCellMar>
          <w:top w:w="0" w:type="dxa"/>
          <w:start w:w="7" w:type="dxa"/>
          <w:bottom w:w="0" w:type="dxa"/>
          <w:end w:w="7" w:type="dxa"/>
        </w:tblCellMar>
      </w:tblPr>
      <w:tblGrid>
        <w:gridCol w:w="5112"/>
        <w:gridCol w:w="576"/>
        <w:gridCol w:w="3168"/>
      </w:tblGrid>
      <w:tr>
        <w:trPr/>
        <w:tc>
          <w:tcPr>
            <w:tcW w:w="5112" w:type="dxa"/>
            <w:tcBorders/>
          </w:tcPr>
          <w:p>
            <w:pPr>
              <w:pStyle w:val="Normal"/>
              <w:tabs>
                <w:tab w:val="clear" w:pos="720"/>
                <w:tab w:val="right" w:pos="5112" w:leader="hyphen"/>
              </w:tabs>
              <w:rPr>
                <w:b/>
              </w:rPr>
            </w:pPr>
            <w:r>
              <w:rPr>
                <w:b/>
              </w:rPr>
              <w:tab/>
            </w:r>
          </w:p>
        </w:tc>
        <w:tc>
          <w:tcPr>
            <w:tcW w:w="576" w:type="dxa"/>
            <w:tcBorders/>
          </w:tcPr>
          <w:p>
            <w:pPr>
              <w:pStyle w:val="Normal"/>
              <w:ind w:start="-29" w:end="0"/>
              <w:rPr>
                <w:b/>
              </w:rPr>
            </w:pPr>
            <w:r>
              <w:rPr>
                <w:b/>
              </w:rPr>
              <w:t>x</w:t>
            </w:r>
          </w:p>
        </w:tc>
        <w:tc>
          <w:tcPr>
            <w:tcW w:w="3168" w:type="dxa"/>
            <w:tcBorders/>
          </w:tcPr>
          <w:p>
            <w:pPr>
              <w:pStyle w:val="Normal"/>
              <w:snapToGrid w:val="false"/>
              <w:rPr>
                <w:b/>
              </w:rPr>
            </w:pPr>
            <w:r>
              <w:rPr>
                <w:b/>
              </w:rPr>
            </w:r>
          </w:p>
        </w:tc>
      </w:tr>
      <w:tr>
        <w:trPr/>
        <w:tc>
          <w:tcPr>
            <w:tcW w:w="5112" w:type="dxa"/>
            <w:tcBorders/>
          </w:tcPr>
          <w:p>
            <w:pPr>
              <w:pStyle w:val="Normal"/>
              <w:snapToGrid w:val="false"/>
              <w:rPr>
                <w:b/>
              </w:rPr>
            </w:pPr>
            <w:r>
              <w:rPr>
                <w:b/>
              </w:rPr>
            </w:r>
          </w:p>
        </w:tc>
        <w:tc>
          <w:tcPr>
            <w:tcW w:w="576" w:type="dxa"/>
            <w:tcBorders/>
          </w:tcPr>
          <w:p>
            <w:pPr>
              <w:pStyle w:val="Normal"/>
              <w:ind w:start="-29" w:end="0"/>
              <w:rPr>
                <w:b/>
              </w:rPr>
            </w:pPr>
            <w:r>
              <w:rPr>
                <w:b/>
              </w:rPr>
              <w:t>:</w:t>
            </w:r>
          </w:p>
        </w:tc>
        <w:tc>
          <w:tcPr>
            <w:tcW w:w="3168" w:type="dxa"/>
            <w:tcBorders/>
          </w:tcPr>
          <w:p>
            <w:pPr>
              <w:pStyle w:val="Normal"/>
              <w:snapToGrid w:val="false"/>
              <w:rPr>
                <w:b/>
              </w:rPr>
            </w:pPr>
            <w:r>
              <w:rPr>
                <w:b/>
              </w:rPr>
            </w:r>
          </w:p>
        </w:tc>
      </w:tr>
      <w:tr>
        <w:trPr/>
        <w:tc>
          <w:tcPr>
            <w:tcW w:w="5112" w:type="dxa"/>
            <w:tcBorders/>
          </w:tcPr>
          <w:p>
            <w:pPr>
              <w:pStyle w:val="Normal"/>
              <w:rPr>
                <w:b/>
              </w:rPr>
            </w:pPr>
            <w:r>
              <w:rPr>
                <w:b/>
              </w:rPr>
              <w:t>In re</w:t>
            </w:r>
          </w:p>
        </w:tc>
        <w:tc>
          <w:tcPr>
            <w:tcW w:w="576" w:type="dxa"/>
            <w:tcBorders/>
          </w:tcPr>
          <w:p>
            <w:pPr>
              <w:pStyle w:val="Normal"/>
              <w:ind w:start="-29" w:end="0"/>
              <w:rPr>
                <w:b/>
              </w:rPr>
            </w:pPr>
            <w:r>
              <w:rPr>
                <w:b/>
              </w:rPr>
              <w:t>:</w:t>
            </w:r>
          </w:p>
        </w:tc>
        <w:tc>
          <w:tcPr>
            <w:tcW w:w="3168" w:type="dxa"/>
            <w:tcBorders/>
          </w:tcPr>
          <w:p>
            <w:pPr>
              <w:pStyle w:val="Normal"/>
              <w:rPr>
                <w:b/>
              </w:rPr>
            </w:pPr>
            <w:r>
              <w:rPr>
                <w:b/>
              </w:rPr>
              <w:t>Chapter 11</w:t>
            </w:r>
          </w:p>
        </w:tc>
      </w:tr>
      <w:tr>
        <w:trPr/>
        <w:tc>
          <w:tcPr>
            <w:tcW w:w="5112" w:type="dxa"/>
            <w:tcBorders/>
          </w:tcPr>
          <w:p>
            <w:pPr>
              <w:pStyle w:val="Normal"/>
              <w:snapToGrid w:val="false"/>
              <w:rPr>
                <w:b/>
              </w:rPr>
            </w:pPr>
            <w:r>
              <w:rPr>
                <w:b/>
              </w:rPr>
            </w:r>
          </w:p>
        </w:tc>
        <w:tc>
          <w:tcPr>
            <w:tcW w:w="576" w:type="dxa"/>
            <w:tcBorders/>
          </w:tcPr>
          <w:p>
            <w:pPr>
              <w:pStyle w:val="Normal"/>
              <w:ind w:start="-29" w:end="0"/>
              <w:rPr>
                <w:b/>
              </w:rPr>
            </w:pPr>
            <w:r>
              <w:rPr>
                <w:b/>
              </w:rPr>
              <w:t>:</w:t>
            </w:r>
          </w:p>
        </w:tc>
        <w:tc>
          <w:tcPr>
            <w:tcW w:w="3168" w:type="dxa"/>
            <w:tcBorders/>
          </w:tcPr>
          <w:p>
            <w:pPr>
              <w:pStyle w:val="Normal"/>
              <w:snapToGrid w:val="false"/>
              <w:rPr>
                <w:b/>
              </w:rPr>
            </w:pPr>
            <w:r>
              <w:rPr>
                <w:b/>
              </w:rPr>
            </w:r>
          </w:p>
        </w:tc>
      </w:tr>
      <w:tr>
        <w:trPr/>
        <w:tc>
          <w:tcPr>
            <w:tcW w:w="5112" w:type="dxa"/>
            <w:tcBorders/>
          </w:tcPr>
          <w:p>
            <w:pPr>
              <w:pStyle w:val="Normal"/>
              <w:rPr>
                <w:b/>
              </w:rPr>
            </w:pPr>
            <w:r>
              <w:rPr>
                <w:b/>
              </w:rPr>
              <w:t xml:space="preserve">ENRON CORP., ET AL., </w:t>
            </w:r>
          </w:p>
        </w:tc>
        <w:tc>
          <w:tcPr>
            <w:tcW w:w="576" w:type="dxa"/>
            <w:tcBorders/>
          </w:tcPr>
          <w:p>
            <w:pPr>
              <w:pStyle w:val="Normal"/>
              <w:ind w:start="-29" w:end="0"/>
              <w:rPr>
                <w:b/>
              </w:rPr>
            </w:pPr>
            <w:r>
              <w:rPr>
                <w:b/>
              </w:rPr>
              <w:t>:</w:t>
            </w:r>
          </w:p>
          <w:p>
            <w:pPr>
              <w:pStyle w:val="Normal"/>
              <w:ind w:start="-29" w:end="0"/>
              <w:rPr>
                <w:b/>
              </w:rPr>
            </w:pPr>
            <w:r>
              <w:rPr>
                <w:b/>
              </w:rPr>
              <w:t>:</w:t>
            </w:r>
          </w:p>
        </w:tc>
        <w:tc>
          <w:tcPr>
            <w:tcW w:w="3168" w:type="dxa"/>
            <w:tcBorders/>
          </w:tcPr>
          <w:p>
            <w:pPr>
              <w:pStyle w:val="Normal"/>
              <w:rPr>
                <w:b/>
              </w:rPr>
            </w:pPr>
            <w:r>
              <w:rPr>
                <w:b/>
              </w:rPr>
              <w:t>Case No. 01-16034 (AJG)</w:t>
            </w:r>
          </w:p>
        </w:tc>
      </w:tr>
      <w:tr>
        <w:trPr/>
        <w:tc>
          <w:tcPr>
            <w:tcW w:w="5112" w:type="dxa"/>
            <w:tcBorders/>
          </w:tcPr>
          <w:p>
            <w:pPr>
              <w:pStyle w:val="Normal"/>
              <w:snapToGrid w:val="false"/>
              <w:rPr>
                <w:b/>
              </w:rPr>
            </w:pPr>
            <w:r>
              <w:rPr>
                <w:b/>
              </w:rPr>
            </w:r>
          </w:p>
        </w:tc>
        <w:tc>
          <w:tcPr>
            <w:tcW w:w="576" w:type="dxa"/>
            <w:tcBorders/>
          </w:tcPr>
          <w:p>
            <w:pPr>
              <w:pStyle w:val="Normal"/>
              <w:ind w:start="-29" w:end="0"/>
              <w:rPr>
                <w:b/>
              </w:rPr>
            </w:pPr>
            <w:r>
              <w:rPr>
                <w:b/>
              </w:rPr>
              <w:t>:</w:t>
            </w:r>
          </w:p>
        </w:tc>
        <w:tc>
          <w:tcPr>
            <w:tcW w:w="3168" w:type="dxa"/>
            <w:tcBorders/>
          </w:tcPr>
          <w:p>
            <w:pPr>
              <w:pStyle w:val="Normal"/>
              <w:rPr>
                <w:b/>
              </w:rPr>
            </w:pPr>
            <w:r>
              <w:rPr>
                <w:b/>
              </w:rPr>
              <w:t>Jointly Administered</w:t>
            </w:r>
          </w:p>
        </w:tc>
      </w:tr>
      <w:tr>
        <w:trPr/>
        <w:tc>
          <w:tcPr>
            <w:tcW w:w="5112" w:type="dxa"/>
            <w:tcBorders/>
          </w:tcPr>
          <w:p>
            <w:pPr>
              <w:pStyle w:val="Normal"/>
              <w:rPr>
                <w:b/>
              </w:rPr>
            </w:pPr>
            <w:r>
              <w:rPr>
                <w:b/>
              </w:rPr>
              <w:tab/>
              <w:tab/>
              <w:tab/>
              <w:t>Debtors.</w:t>
            </w:r>
          </w:p>
        </w:tc>
        <w:tc>
          <w:tcPr>
            <w:tcW w:w="576" w:type="dxa"/>
            <w:tcBorders/>
          </w:tcPr>
          <w:p>
            <w:pPr>
              <w:pStyle w:val="Normal"/>
              <w:ind w:start="-29" w:end="0"/>
              <w:rPr>
                <w:b/>
              </w:rPr>
            </w:pPr>
            <w:r>
              <w:rPr>
                <w:b/>
              </w:rPr>
              <w:t>:</w:t>
            </w:r>
          </w:p>
        </w:tc>
        <w:tc>
          <w:tcPr>
            <w:tcW w:w="3168" w:type="dxa"/>
            <w:tcBorders/>
          </w:tcPr>
          <w:p>
            <w:pPr>
              <w:pStyle w:val="Normal"/>
              <w:snapToGrid w:val="false"/>
              <w:rPr>
                <w:b/>
              </w:rPr>
            </w:pPr>
            <w:r>
              <w:rPr>
                <w:b/>
              </w:rPr>
            </w:r>
          </w:p>
        </w:tc>
      </w:tr>
      <w:tr>
        <w:trPr/>
        <w:tc>
          <w:tcPr>
            <w:tcW w:w="5112" w:type="dxa"/>
            <w:tcBorders/>
          </w:tcPr>
          <w:p>
            <w:pPr>
              <w:pStyle w:val="Normal"/>
              <w:rPr>
                <w:b/>
              </w:rPr>
            </w:pPr>
            <w:r>
              <w:rPr>
                <w:b/>
              </w:rPr>
              <w:t>---------------------------------------------------------------</w:t>
            </w:r>
          </w:p>
        </w:tc>
        <w:tc>
          <w:tcPr>
            <w:tcW w:w="576" w:type="dxa"/>
            <w:tcBorders/>
          </w:tcPr>
          <w:p>
            <w:pPr>
              <w:pStyle w:val="Normal"/>
              <w:ind w:start="-29" w:end="0"/>
              <w:rPr>
                <w:b/>
              </w:rPr>
            </w:pPr>
            <w:r>
              <w:rPr>
                <w:b/>
              </w:rPr>
              <w:t>x</w:t>
            </w:r>
          </w:p>
        </w:tc>
        <w:tc>
          <w:tcPr>
            <w:tcW w:w="3168" w:type="dxa"/>
            <w:tcBorders/>
          </w:tcPr>
          <w:p>
            <w:pPr>
              <w:pStyle w:val="Normal"/>
              <w:snapToGrid w:val="false"/>
              <w:rPr>
                <w:b/>
              </w:rPr>
            </w:pPr>
            <w:r>
              <w:rPr>
                <w:b/>
              </w:rPr>
            </w:r>
          </w:p>
        </w:tc>
      </w:tr>
    </w:tbl>
    <w:p>
      <w:pPr>
        <w:pStyle w:val="Heading"/>
        <w:spacing w:before="480" w:after="240"/>
        <w:ind w:start="720" w:end="720"/>
        <w:rPr>
          <w:u w:val="single"/>
        </w:rPr>
      </w:pPr>
      <w:r>
        <w:rPr/>
        <w:t xml:space="preserve">MOTION OF ENRON CORP. AND CERTAIN OF ITS AFFILIATED DEBTORS FOR AN ORDER (A) ESTABLISHING BIDDING PROCEDURES, INCLUDING MANNER AND FORM OF NOTICE, IN CONNECTION WITH AGREEMENTS FOR THE SALE OF A PORTION OF WHOLESALE TRADING BUSINESS, AND (B) SCHEDULING A HEARING TO CONSIDER THE SALE OF CERTAIN ASSETS AND THE ASSUMPTION AND ASSIGNMENT OF RELATED EXECUTORY CONTRACTS AND UNEXPIRED LEASES PURSUANT TO </w:t>
        <w:br/>
      </w:r>
      <w:r>
        <w:rPr>
          <w:u w:val="single"/>
        </w:rPr>
        <w:t>SECTIONS 363 AND 365 OF THE BANKRUPTCY CODE</w:t>
      </w:r>
      <w:r>
        <w:rPr/>
        <w:br/>
      </w:r>
    </w:p>
    <w:p>
      <w:pPr>
        <w:pStyle w:val="PlainText"/>
        <w:rPr/>
      </w:pPr>
      <w:r>
        <w:rPr/>
        <w:t>TO THE HONORABLE ARTHUR J. GONZALEZ,</w:t>
        <w:br/>
        <w:t>UNITED STATES BANKRUPTCY JUDGE:</w:t>
      </w:r>
    </w:p>
    <w:p>
      <w:pPr>
        <w:pStyle w:val="BodyText2"/>
        <w:rPr/>
      </w:pPr>
      <w:r>
        <w:rPr/>
        <w:t>Enron Corp. (“Enron”), Enron North America Corp. and Enron Net Works LLC, as debtors and debtors in possession (collectively, the “Debtor Sellers”), as and for their motion for an order (a) establishing certain bidding procedures, including manner and form of notice, and (b) scheduling a hearing to consider the sale of certain assets and the assumption of related executory contracts and unexpired leases pursuant to sections 363 and 365 of Title 11 of the United States Code (the “Bankruptcy Code”), respectfully represent:</w:t>
      </w:r>
    </w:p>
    <w:p>
      <w:pPr>
        <w:pStyle w:val="Heading"/>
        <w:keepNext w:val="true"/>
        <w:keepLines/>
        <w:rPr>
          <w:u w:val="single"/>
        </w:rPr>
      </w:pPr>
      <w:r>
        <w:rPr>
          <w:u w:val="single"/>
        </w:rPr>
        <w:t>JURISDICTION</w:t>
      </w:r>
    </w:p>
    <w:p>
      <w:pPr>
        <w:pStyle w:val="OutlineL3"/>
        <w:keepNext w:val="true"/>
        <w:keepLines/>
        <w:numPr>
          <w:ilvl w:val="2"/>
          <w:numId w:val="14"/>
        </w:numPr>
        <w:tabs>
          <w:tab w:val="left" w:pos="2160" w:leader="none"/>
        </w:tabs>
        <w:ind w:hanging="0" w:start="0"/>
        <w:rPr/>
      </w:pPr>
      <w:r>
        <w:rPr/>
        <w:t>This Court has jurisdiction to consider this motion pursuant to 28 U.S.C. §§ 157 and 1334.  This matter is a core proceeding pursuant to 28 U.S.C. § 157(b).  Venue is proper before this Court pursuant to 28 U.S.C. §§ 1408 and 1409.</w:t>
      </w:r>
    </w:p>
    <w:p>
      <w:pPr>
        <w:pStyle w:val="Heading"/>
        <w:rPr>
          <w:b w:val="false"/>
        </w:rPr>
      </w:pPr>
      <w:r>
        <w:rPr>
          <w:u w:val="single"/>
        </w:rPr>
        <w:t>BACKGROUND</w:t>
      </w:r>
    </w:p>
    <w:p>
      <w:pPr>
        <w:pStyle w:val="OutlineL3"/>
        <w:numPr>
          <w:ilvl w:val="2"/>
          <w:numId w:val="14"/>
        </w:numPr>
        <w:tabs>
          <w:tab w:val="left" w:pos="2160" w:leader="none"/>
        </w:tabs>
        <w:ind w:hanging="0" w:start="0"/>
        <w:rPr/>
      </w:pPr>
      <w:r>
        <w:rPr/>
        <w:t>Commencing on December 2, 2001 (the “Petition Date”), Enron and certain of its direct and indirect subsidiaries (collectively the “Debtors”) each filed a voluntary petition for relief under chapter 11 of the Bankruptcy Code.  Their chapter 11 cases have been procedurally consolidated for administrative purposes.</w:t>
      </w:r>
    </w:p>
    <w:p>
      <w:pPr>
        <w:pStyle w:val="OutlineL3"/>
        <w:numPr>
          <w:ilvl w:val="2"/>
          <w:numId w:val="14"/>
        </w:numPr>
        <w:tabs>
          <w:tab w:val="left" w:pos="2160" w:leader="none"/>
        </w:tabs>
        <w:ind w:hanging="0" w:start="0"/>
        <w:rPr/>
      </w:pPr>
      <w:r>
        <w:rPr/>
        <w:t>The Debtors have continued to operate their businesses and manage their  properties as debtors in possession pursuant to sections 1107(a) and 1108 of the Bankruptcy Code.</w:t>
      </w:r>
    </w:p>
    <w:p>
      <w:pPr>
        <w:pStyle w:val="OutlineL3"/>
        <w:numPr>
          <w:ilvl w:val="2"/>
          <w:numId w:val="14"/>
        </w:numPr>
        <w:tabs>
          <w:tab w:val="left" w:pos="2160" w:leader="none"/>
        </w:tabs>
        <w:ind w:hanging="0" w:start="0"/>
        <w:rPr/>
      </w:pPr>
      <w:r>
        <w:rPr/>
        <w:t>Pursuant to section 1102 of the Bankruptcy Code, on December 12, 2001, the United States Trustee for the Southern District of New York (the “United States Trustee”) appointed a statutory committee of unsecured creditors (the “Creditors’ Committee”) in the Debtors’ chapter 11 cases.</w:t>
      </w:r>
    </w:p>
    <w:p>
      <w:pPr>
        <w:pStyle w:val="NumContinue"/>
        <w:rPr>
          <w:b/>
          <w:u w:val="single"/>
        </w:rPr>
      </w:pPr>
      <w:r>
        <w:rPr>
          <w:b/>
          <w:u w:val="single"/>
        </w:rPr>
        <w:t>The Debtor’s Operations</w:t>
      </w:r>
    </w:p>
    <w:p>
      <w:pPr>
        <w:pStyle w:val="OutlineL3"/>
        <w:numPr>
          <w:ilvl w:val="2"/>
          <w:numId w:val="14"/>
        </w:numPr>
        <w:tabs>
          <w:tab w:val="left" w:pos="2160" w:leader="none"/>
        </w:tabs>
        <w:ind w:hanging="0" w:start="0"/>
        <w:rPr/>
      </w:pPr>
      <w:r>
        <w:rPr/>
        <w:t>The Debtors’ and their approximately 3,500 other direct and indirect subsidiaries (collectively, the “Enron Companies”), building upon knowledge gained in over 70 years of experience in the energy business, have grown into a worldwide leader in products and services related to the sale and delivery of natural gas, electricity and communications to wholesale and retail customers.  As of the Petition Date, the Enron Companies employed approximately 25,000 individuals throughout the world and were recently ranked seventh on the Fortune 500 list of the largest U.S. corporations.</w:t>
      </w:r>
    </w:p>
    <w:p>
      <w:pPr>
        <w:pStyle w:val="OutlineL3"/>
        <w:numPr>
          <w:ilvl w:val="2"/>
          <w:numId w:val="14"/>
        </w:numPr>
        <w:tabs>
          <w:tab w:val="left" w:pos="2160" w:leader="none"/>
        </w:tabs>
        <w:ind w:hanging="0" w:start="0"/>
        <w:rPr/>
      </w:pPr>
      <w:r>
        <w:rPr/>
        <w:t>For the fiscal year ended December 31, 2000, the Enron Companies generated $101 billion in annual revenues on a consolidated basis.  As set forth in the Enron Companies’ Form 10</w:t>
        <w:noBreakHyphen/>
        <w:t>Q filed on October 31, 2001 (the “10</w:t>
        <w:noBreakHyphen/>
        <w:t>Q”) for the quarter ending on September 30, 2001, the Enron Companies’ consolidated books and records reflected assets totaling approximately $61 billion and liabilities totaling approximately $49 billion.</w:t>
      </w:r>
      <w:r>
        <w:rPr>
          <w:rStyle w:val="FootnoteCharacters"/>
          <w:rStyle w:val="FootnoteReference"/>
        </w:rPr>
        <w:footnoteReference w:id="2"/>
      </w:r>
    </w:p>
    <w:p>
      <w:pPr>
        <w:pStyle w:val="OutlineL3"/>
        <w:numPr>
          <w:ilvl w:val="2"/>
          <w:numId w:val="14"/>
        </w:numPr>
        <w:tabs>
          <w:tab w:val="left" w:pos="2160" w:leader="none"/>
        </w:tabs>
        <w:ind w:hanging="0" w:start="0"/>
        <w:rPr/>
      </w:pPr>
      <w:r>
        <w:rPr/>
        <w:t>The Enron Companies divide their business operations into four primary business units:  Enron Wholesale Services, Enron Retail Services, Enron Transportation Services, and Enron Global Services.  These business units provide the following services:</w:t>
      </w:r>
    </w:p>
    <w:p>
      <w:pPr>
        <w:pStyle w:val="StandardL2"/>
        <w:numPr>
          <w:ilvl w:val="1"/>
          <w:numId w:val="16"/>
        </w:numPr>
        <w:spacing w:before="0" w:after="240"/>
        <w:ind w:hanging="0" w:start="0"/>
        <w:rPr/>
      </w:pPr>
      <w:r>
        <w:rPr/>
        <w:t>Enron Wholesale Services encompasses the global wholesale businesses related to natural gas, power, metals, coal, crude and liquids, weather, forest products and steel.  This business unit also includes EnronOnline</w:t>
      </w:r>
      <w:r>
        <w:rPr>
          <w:vertAlign w:val="superscript"/>
        </w:rPr>
        <w:t>TM</w:t>
      </w:r>
      <w:r>
        <w:rPr/>
        <w:t>, the world’s largest e-commerce site for global commodity transactions.</w:t>
      </w:r>
    </w:p>
    <w:p>
      <w:pPr>
        <w:pStyle w:val="StandardL2"/>
        <w:numPr>
          <w:ilvl w:val="1"/>
          <w:numId w:val="16"/>
        </w:numPr>
        <w:spacing w:before="0" w:after="240"/>
        <w:ind w:hanging="0" w:start="0"/>
        <w:rPr/>
      </w:pPr>
      <w:r>
        <w:rPr/>
        <w:t>Enron Retail Services extends Enron’s energy expertise and capabilities to end-use retail customers in the industrial and commercial business sectors to manage their energy requirements and reduce their total energy costs.</w:t>
      </w:r>
    </w:p>
    <w:p>
      <w:pPr>
        <w:pStyle w:val="StandardL2"/>
        <w:numPr>
          <w:ilvl w:val="1"/>
          <w:numId w:val="16"/>
        </w:numPr>
        <w:spacing w:before="0" w:after="240"/>
        <w:ind w:hanging="0" w:start="0"/>
        <w:rPr/>
      </w:pPr>
      <w:r>
        <w:rPr/>
        <w:t>Enron Transportation Services operates one of the largest gas transmission systems in the United States spanning approximately 25,000 miles with a peak capacity of 10.1 billion cubic feet per day.</w:t>
      </w:r>
    </w:p>
    <w:p>
      <w:pPr>
        <w:pStyle w:val="StandardL2"/>
        <w:numPr>
          <w:ilvl w:val="1"/>
          <w:numId w:val="16"/>
        </w:numPr>
        <w:spacing w:before="0" w:after="240"/>
        <w:ind w:hanging="0" w:start="0"/>
        <w:rPr/>
      </w:pPr>
      <w:r>
        <w:rPr/>
        <w:t>Enron Global Services includes energy-related assets throughout the world that are not included in the Wholesale, Retail and Transportation business units, including, but not limited to, assets in the United States, Brazil, Europe, and India.</w:t>
      </w:r>
    </w:p>
    <w:p>
      <w:pPr>
        <w:pStyle w:val="OutlineL3"/>
        <w:numPr>
          <w:ilvl w:val="2"/>
          <w:numId w:val="14"/>
        </w:numPr>
        <w:tabs>
          <w:tab w:val="left" w:pos="2160" w:leader="none"/>
        </w:tabs>
        <w:ind w:hanging="0" w:start="0"/>
        <w:rPr/>
      </w:pPr>
      <w:r>
        <w:rPr/>
        <w:t>On October 16, 2001, Enron issued a press release announcing its results for the three months ended September 30, 2001 (the “Third Quarter Earnings Release”).  Although the release disclosed that Enron’s total recurring net income increased to $393 million dollars, as compared to $292 million dollars for the comparable period the prior year, the release also disclosed non-recurring charges totaling $1.01 billion dollars (after tax).  In addition, in connection with the early termination of certain structured finance arrangements, it was also publicly reported that Enron’s shareholders’ equity had been reduced by approximately $1.2 billion.</w:t>
      </w:r>
    </w:p>
    <w:p>
      <w:pPr>
        <w:pStyle w:val="OutlineL3"/>
        <w:numPr>
          <w:ilvl w:val="2"/>
          <w:numId w:val="14"/>
        </w:numPr>
        <w:tabs>
          <w:tab w:val="left" w:pos="2160" w:leader="none"/>
        </w:tabs>
        <w:ind w:hanging="0" w:start="0"/>
        <w:rPr/>
      </w:pPr>
      <w:r>
        <w:rPr/>
        <w:t>During the period from October 15, 2001 up to and including execution of an Agreement and Plan of Merger with Dynegy, Inc. (“Dynegy”) and certain of its subsidiaries (the “Merger Agreement”) on November 9, 2001, there was a sharp decrease in the price of Enron’s common stock.  During the same period, Enron’s creditors and trading counterparties continued to question the Enron Companies’ financial credibility and each of the three primary rating agencies, Standard &amp; Poor’s, Moody’s and Fitch, had continuous discussions with Dynegy and Enron regarding the impact of the proposed merger on Enron’s financial condition.</w:t>
      </w:r>
    </w:p>
    <w:p>
      <w:pPr>
        <w:pStyle w:val="OutlineL3"/>
        <w:numPr>
          <w:ilvl w:val="2"/>
          <w:numId w:val="14"/>
        </w:numPr>
        <w:tabs>
          <w:tab w:val="left" w:pos="2160" w:leader="none"/>
        </w:tabs>
        <w:ind w:hanging="0" w:start="0"/>
        <w:rPr/>
      </w:pPr>
      <w:r>
        <w:rPr/>
        <w:t>On November 9, 2001, in an effort to improve their liquidity and restore shareholder, customer and vendor confidence, Enron entered into the Merger Agreement.  Under the terms of the Merger Agreement, Dynegy agreed to acquire Enron for approximately $9,000,000,000 in Dynegy stock and assume approximately $13,000,000,000 in debt.  Concurrently therewith, Enron, Northern Natural Gas Company, an indirect subsidiary of Enron (“Northern Natural”), and Dynegy entered into a Subscription Agreement whereby Dynegy purchased $1,500,000,000 of preferred stock of Northern Natural.</w:t>
      </w:r>
    </w:p>
    <w:p>
      <w:pPr>
        <w:pStyle w:val="OutlineL3"/>
        <w:numPr>
          <w:ilvl w:val="2"/>
          <w:numId w:val="14"/>
        </w:numPr>
        <w:tabs>
          <w:tab w:val="left" w:pos="2160" w:leader="none"/>
        </w:tabs>
        <w:ind w:hanging="0" w:start="0"/>
        <w:rPr/>
      </w:pPr>
      <w:r>
        <w:rPr/>
        <w:t>Soon after entering into the Merger Agreement, a number of events occurred involving Dynegy that are the subject of litigation.  Ultimately, Dynegy advised Enron that it was terminating the Merger and then on the morning of November 28, 2001, Standard &amp; Poor’s, Moody’s, and Fitch each downgraded Enron’s credit rating to speculative or “junk” status.</w:t>
      </w:r>
    </w:p>
    <w:p>
      <w:pPr>
        <w:pStyle w:val="OutlineL3"/>
        <w:numPr>
          <w:ilvl w:val="2"/>
          <w:numId w:val="14"/>
        </w:numPr>
        <w:tabs>
          <w:tab w:val="left" w:pos="2160" w:leader="none"/>
        </w:tabs>
        <w:ind w:hanging="0" w:start="0"/>
        <w:rPr/>
      </w:pPr>
      <w:r>
        <w:rPr/>
        <w:t>The Debtor Sellers have determined that it is in their best interests to sell a portion of Enron Wholesale Services, a business that encompasses the marketing of, and making of markets for, natural gas (excluding liquid natural gas) and electricity, as well as any swap, cap, floor, collar, futures contract, forward contract, option and any other derivative instrument contract or arrangement based on natural gas (excluding liquid natural gas) and electricity, in the United States and related risk management and financial services (the “Wholesale Business”).  In that regard, the Debtor Sellers desire to sell the equipment and fixed assets, hardware and ssoftware, information, records, intellectual property, permits, third party claims and certain real property (collectively the “Assets”) pursuant to the terms and conditions of a proposed (1) Contribution Agreement, (2) Limited Partnership Agreement and (3) License Agreement (collectively, the “Agreements”), a copy of each of which is annexed as Exhibits “A,” “B” and “C” to the motion seeking authority to sell filed contemporaneously herewith and which is annexed hereto without exhibits (the “Sale Motion”).</w:t>
      </w:r>
      <w:r>
        <w:rPr>
          <w:rStyle w:val="FootnoteCharacters"/>
          <w:rStyle w:val="FootnoteReference"/>
        </w:rPr>
        <w:footnoteReference w:id="3"/>
      </w:r>
    </w:p>
    <w:p>
      <w:pPr>
        <w:pStyle w:val="Centered"/>
        <w:rPr/>
      </w:pPr>
      <w:r>
        <w:rPr/>
        <w:t>RELIEF REQUESTED</w:t>
      </w:r>
    </w:p>
    <w:p>
      <w:pPr>
        <w:pStyle w:val="OutlineL3"/>
        <w:numPr>
          <w:ilvl w:val="2"/>
          <w:numId w:val="14"/>
        </w:numPr>
        <w:tabs>
          <w:tab w:val="left" w:pos="2160" w:leader="none"/>
        </w:tabs>
        <w:ind w:hanging="0" w:start="0"/>
        <w:rPr/>
      </w:pPr>
      <w:r>
        <w:rPr/>
        <w:t>By this motion, the Debtor Sellers request entry of an order (the “Bidding Procedures Order”) (a) establishing bidding procedures, including the manner and form of notice, and (b) scheduling a hearing to consider the sale of certain assets and the assumption and assignment of related executory contracts under sections 363 and 365 of the Bankruptcy Code.</w:t>
      </w:r>
    </w:p>
    <w:p>
      <w:pPr>
        <w:pStyle w:val="Heading"/>
        <w:rPr>
          <w:b w:val="false"/>
        </w:rPr>
      </w:pPr>
      <w:r>
        <w:rPr>
          <w:caps/>
        </w:rPr>
        <w:t>GOOD CAUSE AND BUSINESS JUSTIFICATIONS</w:t>
        <w:br/>
        <w:t>EXIST TO WARRANT IMPLEMENTATION</w:t>
        <w:br/>
      </w:r>
      <w:r>
        <w:rPr>
          <w:caps/>
          <w:u w:val="single"/>
        </w:rPr>
        <w:t xml:space="preserve">OF APPROPRIATE BIDDING </w:t>
      </w:r>
      <w:r>
        <w:rPr>
          <w:u w:val="single"/>
        </w:rPr>
        <w:t>PROCEDURES</w:t>
      </w:r>
    </w:p>
    <w:p>
      <w:pPr>
        <w:pStyle w:val="OutlineL3"/>
        <w:numPr>
          <w:ilvl w:val="2"/>
          <w:numId w:val="14"/>
        </w:numPr>
        <w:tabs>
          <w:tab w:val="left" w:pos="2160" w:leader="none"/>
        </w:tabs>
        <w:ind w:hanging="0" w:start="0"/>
        <w:rPr/>
      </w:pPr>
      <w:r>
        <w:rPr/>
        <w:t>The Agreements recognize that, due to the Debtor Sellers’ status as debtors in possession, the terms of purchase set forth in the Agreements are subject to Court approval and the submission of higher or better offers.  In order to maximize the value of the Assets for the benefit of the Debtor Sellers, their creditors and their chapter 11 estates, the Debtor Sellers, in conjunction with the Creditors’ Committee, seek to implement a competitive bidding process typical for transactions of this size and nature and designed to generate a maximum recovery.</w:t>
      </w:r>
    </w:p>
    <w:p>
      <w:pPr>
        <w:pStyle w:val="NumContinue"/>
        <w:rPr>
          <w:b/>
          <w:u w:val="single"/>
        </w:rPr>
      </w:pPr>
      <w:r>
        <w:rPr>
          <w:b/>
          <w:u w:val="single"/>
        </w:rPr>
        <w:t>Bidding Procedures</w:t>
      </w:r>
    </w:p>
    <w:p>
      <w:pPr>
        <w:pStyle w:val="OutlineL3"/>
        <w:numPr>
          <w:ilvl w:val="2"/>
          <w:numId w:val="14"/>
        </w:numPr>
        <w:tabs>
          <w:tab w:val="left" w:pos="2160" w:leader="none"/>
        </w:tabs>
        <w:ind w:hanging="0" w:start="0"/>
        <w:rPr/>
      </w:pPr>
      <w:r>
        <w:rPr/>
        <w:t>The Debtor Sellers propose that competing bids (“Competing Offers”) for the Assets be governed by the following procedures:</w:t>
      </w:r>
    </w:p>
    <w:p>
      <w:pPr>
        <w:pStyle w:val="OutlineL4"/>
        <w:numPr>
          <w:ilvl w:val="3"/>
          <w:numId w:val="14"/>
        </w:numPr>
        <w:tabs>
          <w:tab w:val="left" w:pos="1440" w:leader="none"/>
        </w:tabs>
        <w:ind w:hanging="360" w:start="1440" w:end="720"/>
        <w:rPr/>
      </w:pPr>
      <w:r>
        <w:rPr/>
        <w:t>Any entity that wishes to make a bid for the specified assets associated with the Wholesale Business must provide the Debtor Sellers with sufficient and adequate information to demonstrate, to the sole and absolute satisfaction of the Debtor Sellers, that such competing bidder (i) has the financial wherewithal and ability to consummate the Sale Transaction including evidence of adequate financing, and including a financial guaranty, if appropriate, and (ii) can provide all non-debtor contracting parties to the Assumed Agreements with adequate assurance of future performance as contemplated by section 365 of the Bankruptcy Code.  Such written information must demonstrate that the bidder has an equivalent financial rating of “A1” or higher from Moody’s or “A+” or higher from Standard &amp; Poor’s.  Any party satisfying such criteria shall be designated as a “Qualified Party.”  Any Qualified Party shall be permitted to conduct reasonable due diligence for purposes of making a competing bid, subject to executing an appropriate confidentiality agreement.</w:t>
      </w:r>
    </w:p>
    <w:p>
      <w:pPr>
        <w:pStyle w:val="OutlineL4"/>
        <w:numPr>
          <w:ilvl w:val="3"/>
          <w:numId w:val="14"/>
        </w:numPr>
        <w:tabs>
          <w:tab w:val="left" w:pos="1440" w:leader="none"/>
        </w:tabs>
        <w:ind w:hanging="360" w:start="1440" w:end="720"/>
        <w:rPr/>
      </w:pPr>
      <w:r>
        <w:rPr/>
        <w:t>The Debtor Sellers shall only entertain Competing Offers that are on substantially the same terms and conditions as those terms set forth in the Agreements and the documents set forth as exhibits thereto.</w:t>
      </w:r>
    </w:p>
    <w:p>
      <w:pPr>
        <w:pStyle w:val="OutlineL4"/>
        <w:numPr>
          <w:ilvl w:val="3"/>
          <w:numId w:val="14"/>
        </w:numPr>
        <w:tabs>
          <w:tab w:val="left" w:pos="1440" w:leader="none"/>
        </w:tabs>
        <w:ind w:hanging="360" w:start="1440" w:end="720"/>
        <w:rPr/>
      </w:pPr>
      <w:r>
        <w:rPr/>
        <w:t xml:space="preserve">Competing Offers must (a) be in writing and (b) be received by </w:t>
      </w:r>
      <w:r>
        <w:rPr>
          <w:rStyle w:val="PageNumber"/>
        </w:rPr>
        <w:t xml:space="preserve">(i) Weil, Gotshal &amp; Manges LLP, 767 Fifth Avenue, New York, New York 10153, Attention: Brian S. Rosen, Esq. (Facsimile: 212-310-8007), Attorneys for the </w:t>
      </w:r>
      <w:r>
        <w:rPr/>
        <w:t>Debtor Sellers</w:t>
      </w:r>
      <w:r>
        <w:rPr>
          <w:rStyle w:val="PageNumber"/>
        </w:rPr>
        <w:t xml:space="preserve">, (ii) Davis, Polk &amp; Wardwell, 450 Lexington Avenue, New York, New York 10017, Attention: Donald S. Bernstein, Esq. (Facsimile: 212-450-3800), Attorneys for JP Morgan Chase Bank, as Agent, (iii) Shearman &amp; Sterling, 599 Lexington Avenue, New York, New York 10022, Attention: Fredric Sosnick, Esq. (Facsimile: 212-848-7179), Attorneys for Citicorp, as Agent, and (iv) Milbank, Tweed, Hadley &amp; McCloy LLP, One Chase Manhattan Plaza, New York, New York 10005, Attention: Luc A. Despins, Esq. (Facsimile: 212-530-5219), Attorneys for </w:t>
      </w:r>
      <w:r>
        <w:rPr/>
        <w:t xml:space="preserve">the Creditors’ Committee, so that such bid is received by such parties </w:t>
      </w:r>
      <w:r>
        <w:rPr>
          <w:rStyle w:val="PageNumber"/>
        </w:rPr>
        <w:t>no later than January 7, 2002, at 4:00 p.m. (EST) (the “Bid Deadline”).</w:t>
      </w:r>
      <w:r>
        <w:rPr/>
        <w:t xml:space="preserve">  Parties not submitting Competing Offers by the Bid Deadline shall not be permitted to participate at the Auction.</w:t>
      </w:r>
    </w:p>
    <w:p>
      <w:pPr>
        <w:pStyle w:val="OutlineL4"/>
        <w:numPr>
          <w:ilvl w:val="3"/>
          <w:numId w:val="14"/>
        </w:numPr>
        <w:tabs>
          <w:tab w:val="left" w:pos="1440" w:leader="none"/>
        </w:tabs>
        <w:ind w:hanging="360" w:start="1440" w:end="720"/>
        <w:rPr/>
      </w:pPr>
      <w:r>
        <w:rPr/>
        <w:t>Competing Offers must be accompanied by a good faith deposit in the amount of Twenty-Five Million Dollars ($25,000,000.00), in the form of a certified or cashier’s check made payable to Enron Corp.  All such deposits shall be retained by the Debtor Sellers (but the checks will not be cashed) pending the hearing to consider the Sale Motion and shall be returned at the close of such hearing, except that the Debtor Sellers shall hold the deposit of the winning bidder (as determined by the Debtor Sellers and accepted by the Court) and apply such deposit to the Purchase Price at closing.</w:t>
      </w:r>
    </w:p>
    <w:p>
      <w:pPr>
        <w:pStyle w:val="OutlineL4"/>
        <w:numPr>
          <w:ilvl w:val="3"/>
          <w:numId w:val="14"/>
        </w:numPr>
        <w:tabs>
          <w:tab w:val="left" w:pos="1440" w:leader="none"/>
        </w:tabs>
        <w:ind w:hanging="360" w:start="1440" w:end="720"/>
        <w:rPr/>
      </w:pPr>
      <w:r>
        <w:rPr/>
        <w:t>All Competing Offers shall be considered at the auction to be held at the New York City offices of Weil, Gotshal &amp; Manges LLP, or in such manner and at such alternative location as the Debtor Sellers may determine or the Court may direct, on January 10, 2002 commencing at 10:00 a.m. (EST) (the “Auction”).</w:t>
      </w:r>
    </w:p>
    <w:p>
      <w:pPr>
        <w:pStyle w:val="OutlineL4"/>
        <w:numPr>
          <w:ilvl w:val="3"/>
          <w:numId w:val="14"/>
        </w:numPr>
        <w:tabs>
          <w:tab w:val="left" w:pos="1440" w:leader="none"/>
        </w:tabs>
        <w:ind w:hanging="360" w:start="1440" w:end="720"/>
        <w:rPr/>
      </w:pPr>
      <w:r>
        <w:rPr/>
        <w:t>If there is a successful competing bidder for the Wholesale Business, such successful bidder shall be bound by all of the terms and conditions of the Agreements with appropriate modifications for (i) the identity of the successful bidder and (ii) the purchase price, as the same shall have been increased at the Auction.</w:t>
      </w:r>
    </w:p>
    <w:p>
      <w:pPr>
        <w:pStyle w:val="OutlineL4"/>
        <w:numPr>
          <w:ilvl w:val="3"/>
          <w:numId w:val="14"/>
        </w:numPr>
        <w:tabs>
          <w:tab w:val="left" w:pos="1440" w:leader="none"/>
        </w:tabs>
        <w:ind w:hanging="360" w:start="1440" w:end="720"/>
        <w:rPr/>
      </w:pPr>
      <w:r>
        <w:rPr/>
        <w:t>Any Competing Offer must be presented under a contract substantially identical, except as to purchase price, to the Agreements, marked to show all changes made to the Agreements; and such bid must not be subject to due diligence review or obtaining financing.</w:t>
      </w:r>
    </w:p>
    <w:p>
      <w:pPr>
        <w:pStyle w:val="OutlineL4"/>
        <w:numPr>
          <w:ilvl w:val="3"/>
          <w:numId w:val="14"/>
        </w:numPr>
        <w:tabs>
          <w:tab w:val="left" w:pos="1440" w:leader="none"/>
        </w:tabs>
        <w:ind w:hanging="360" w:start="1440" w:end="720"/>
        <w:rPr/>
      </w:pPr>
      <w:r>
        <w:rPr/>
        <w:t xml:space="preserve">The Debtor Sellers shall, after the Bid Deadline and prior to the Auction, evaluate all bids received, and determine which bid reflects the highest or best offer for the portion of the Wholesale Business.  The Debtor Sellers shall announce such determination at the commencement of the Auction.  </w:t>
      </w:r>
    </w:p>
    <w:p>
      <w:pPr>
        <w:pStyle w:val="OutlineL4"/>
        <w:numPr>
          <w:ilvl w:val="3"/>
          <w:numId w:val="14"/>
        </w:numPr>
        <w:tabs>
          <w:tab w:val="left" w:pos="1440" w:leader="none"/>
        </w:tabs>
        <w:ind w:hanging="360" w:start="1440" w:end="720"/>
        <w:rPr/>
      </w:pPr>
      <w:r>
        <w:rPr/>
        <w:t>In the event a competing bidder is the winning bidder (as determined by the Debtor Sellers and accepted by the Court), and such winning bidder fails to consummate the proposed transaction by the Closing Date, such bidder’s deposit shall be forfeited to the Debtor Sellers (but not as liquidated damages, the Debtor Sellers reserving the right to pursue all remedies that may be available to them) and the Debtor Sellers shall be free to consummate the proposed transaction with the next highest bidder at the final price bid by such bidder at the auction (or, if that bidder is unable to consummate the transaction at that price, the Debtor Sellers may consummate the transaction with the next higher bidder, and so forth) without the need for an additional hearing or order of the Bankruptcy Court.</w:t>
      </w:r>
    </w:p>
    <w:p>
      <w:pPr>
        <w:pStyle w:val="OutlineL4"/>
        <w:numPr>
          <w:ilvl w:val="3"/>
          <w:numId w:val="14"/>
        </w:numPr>
        <w:tabs>
          <w:tab w:val="left" w:pos="1440" w:leader="none"/>
        </w:tabs>
        <w:ind w:hanging="360" w:start="1440" w:end="720"/>
        <w:rPr/>
      </w:pPr>
      <w:r>
        <w:rPr/>
        <w:t>All bids for the purchase of the portion of the Wholesale Business shall be subject to approval of the Bankruptcy Court.</w:t>
      </w:r>
    </w:p>
    <w:p>
      <w:pPr>
        <w:pStyle w:val="OutlineL4"/>
        <w:numPr>
          <w:ilvl w:val="3"/>
          <w:numId w:val="14"/>
        </w:numPr>
        <w:tabs>
          <w:tab w:val="left" w:pos="1440" w:leader="none"/>
        </w:tabs>
        <w:ind w:hanging="360" w:start="1440" w:end="720"/>
        <w:rPr/>
      </w:pPr>
      <w:r>
        <w:rPr/>
        <w:t>No bids shall be considered by the Debtor Sellers or the Bankruptcy Court unless a party submitted a Competing Offer in accordance with the Auction Terms and participated in the Auction.  The Debtor Sellers, in their sole and absolute discretion, may reject any Competing Offers not in conformity with the requirements of the Bankruptcy Code, the Bankruptcy Rules or the Local Bankruptcy Rules of the Court, or contrary to the best interests of the Debtor Sellers and parties in interest.</w:t>
      </w:r>
    </w:p>
    <w:p>
      <w:pPr>
        <w:pStyle w:val="OutlineL4"/>
        <w:numPr>
          <w:ilvl w:val="3"/>
          <w:numId w:val="14"/>
        </w:numPr>
        <w:tabs>
          <w:tab w:val="left" w:pos="1440" w:leader="none"/>
        </w:tabs>
        <w:ind w:hanging="360" w:start="1440" w:end="720"/>
        <w:rPr/>
      </w:pPr>
      <w:r>
        <w:rPr/>
        <w:t xml:space="preserve">All bids are irrevocable until the earlier to occur of: (i) the closing of the Sale Transaction, or (ii) thirty (30) days following the last date of the Auction (as may be adjourned).  </w:t>
      </w:r>
    </w:p>
    <w:p>
      <w:pPr>
        <w:pStyle w:val="OutlineL4"/>
        <w:numPr>
          <w:ilvl w:val="3"/>
          <w:numId w:val="14"/>
        </w:numPr>
        <w:tabs>
          <w:tab w:val="left" w:pos="1440" w:leader="none"/>
        </w:tabs>
        <w:ind w:hanging="360" w:start="1440" w:end="720"/>
        <w:rPr/>
      </w:pPr>
      <w:r>
        <w:rPr/>
        <w:t>All bids are subject to such other terms and conditions as are announced by the Debtor Sellers at the outset of the Auction.</w:t>
      </w:r>
    </w:p>
    <w:p>
      <w:pPr>
        <w:pStyle w:val="BodyText2"/>
        <w:spacing w:lineRule="auto" w:line="240"/>
        <w:ind w:hanging="0" w:end="0"/>
        <w:rPr/>
      </w:pPr>
      <w:r>
        <w:rPr/>
      </w:r>
    </w:p>
    <w:p>
      <w:pPr>
        <w:pStyle w:val="OutlineL3"/>
        <w:numPr>
          <w:ilvl w:val="2"/>
          <w:numId w:val="14"/>
        </w:numPr>
        <w:tabs>
          <w:tab w:val="left" w:pos="2160" w:leader="none"/>
        </w:tabs>
        <w:ind w:hanging="0" w:start="0"/>
        <w:rPr/>
      </w:pPr>
      <w:r>
        <w:rPr/>
        <w:t>The Debtor Sellers submit that the foregoing bidding procedures provide a fair and reasonable means of ensuring that the Assets are sold for the highest or best offer attainable.  Specifically, such procedures provide that any party interested in submitting a Competing Offer be afforded due diligence opportunities in an effort to generate a Competing Offer.  Moreover, such procedures provide flexibility so as to enable a party interested in submitting a Competing Offer to modify the terms of the Agreements to an alternative structure and submit a greater purchase price as a result thereof.  Likewise, such procedures contain a timeframe so as to permit a prospective purchaser to review such Competing Offer and, if interested, formulate a revised increased bid.  Furthermore, such timeframe allows the Debtor Sellers to consider and evaluate any Competing Offer so as to ensure that such Competing Offer satisfies the requirements for auction participation.  Based upon the foregoing, the Debtor Sellers submit that the foregoing bidding procedures are in the best interests of the Debtor Sellers, their creditors and their chapter 11 estates and should be approved by this Court.</w:t>
      </w:r>
    </w:p>
    <w:p>
      <w:pPr>
        <w:pStyle w:val="Centered"/>
        <w:rPr>
          <w:rFonts w:ascii="Times New Roman Bold;Times New Roman" w:hAnsi="Times New Roman Bold;Times New Roman" w:cs="Times New Roman Bold;Times New Roman"/>
          <w:caps/>
        </w:rPr>
      </w:pPr>
      <w:r>
        <w:rPr>
          <w:rFonts w:cs="Times New Roman Bold;Times New Roman" w:ascii="Times New Roman Bold;Times New Roman" w:hAnsi="Times New Roman Bold;Times New Roman"/>
          <w:caps/>
        </w:rPr>
        <w:t>Scheduling of Sale Hearing</w:t>
      </w:r>
    </w:p>
    <w:p>
      <w:pPr>
        <w:pStyle w:val="OutlineL3"/>
        <w:numPr>
          <w:ilvl w:val="2"/>
          <w:numId w:val="14"/>
        </w:numPr>
        <w:ind w:hanging="0" w:start="0"/>
        <w:rPr/>
      </w:pPr>
      <w:r>
        <w:rPr/>
        <w:t>As set forth above, the Debtor Sellers contemplate that approval of the Sale Motion be considered on an expedited schedule because of the nature of the assets being sold.  Accordingly, the Debtor Sellers propose that the Court schedule a hearing to consider the relief requested in the Sale Motion (the “Sale Hearing”) for no later than January 11, 2002.  Such date would permit the Court to consider the evidence introduced and legal arguments presented at the Sale Hearing, as well as facilitating the Debtor Sellers’ desire to quickly sell these assets to prevent further erosion in their true value.</w:t>
      </w:r>
    </w:p>
    <w:p>
      <w:pPr>
        <w:pStyle w:val="NumContinue"/>
        <w:keepNext w:val="true"/>
        <w:jc w:val="center"/>
        <w:rPr>
          <w:rFonts w:ascii="Times New Roman Bold;Times New Roman" w:hAnsi="Times New Roman Bold;Times New Roman" w:cs="Times New Roman Bold;Times New Roman"/>
          <w:b/>
          <w:caps/>
          <w:u w:val="single"/>
        </w:rPr>
      </w:pPr>
      <w:r>
        <w:rPr>
          <w:rFonts w:cs="Times New Roman Bold;Times New Roman" w:ascii="Times New Roman Bold;Times New Roman" w:hAnsi="Times New Roman Bold;Times New Roman"/>
          <w:b/>
          <w:caps/>
          <w:u w:val="single"/>
        </w:rPr>
        <w:t>Notice</w:t>
      </w:r>
    </w:p>
    <w:p>
      <w:pPr>
        <w:pStyle w:val="OutlineL3"/>
        <w:numPr>
          <w:ilvl w:val="2"/>
          <w:numId w:val="14"/>
        </w:numPr>
        <w:tabs>
          <w:tab w:val="left" w:pos="2160" w:leader="none"/>
        </w:tabs>
        <w:ind w:hanging="0" w:start="0"/>
        <w:rPr/>
      </w:pPr>
      <w:r>
        <w:rPr/>
        <w:t>Bankruptcy Rule 2002(a) provides in pertinent part, as follows:</w:t>
      </w:r>
    </w:p>
    <w:p>
      <w:pPr>
        <w:pStyle w:val="BodyTextIndent"/>
        <w:ind w:end="1710"/>
        <w:rPr/>
      </w:pPr>
      <w:r>
        <w:rPr/>
        <w:t>[The clerk, or some other person as the court may direct shall give the debtor, the trustee, all creditors and indenture trustees at least 20 days’ notice by mail of . . . (2) a proposed use, sale, or lease of property other than in the ordinary course of business unless the court for cause shown shortens the time or directs another method of giving notice</w:t>
      </w:r>
    </w:p>
    <w:p>
      <w:pPr>
        <w:pStyle w:val="BodyText4"/>
        <w:rPr/>
      </w:pPr>
      <w:r>
        <w:rPr/>
        <w:t xml:space="preserve">Neither section 365 of the Bankruptcy Code nor Bankruptcy Rule 6006 contains specific requirements for the time within which notice of a motion by a trustee or debtor in possession for authorization to assume and assign executory contracts or unexpired leases is to be given.  </w:t>
      </w:r>
    </w:p>
    <w:p>
      <w:pPr>
        <w:pStyle w:val="OutlineL3"/>
        <w:numPr>
          <w:ilvl w:val="2"/>
          <w:numId w:val="14"/>
        </w:numPr>
        <w:tabs>
          <w:tab w:val="left" w:pos="2160" w:leader="none"/>
        </w:tabs>
        <w:ind w:hanging="0" w:start="0"/>
        <w:rPr/>
      </w:pPr>
      <w:r>
        <w:rPr/>
        <w:t xml:space="preserve">Based upon the foregoing, the Debtor Sellers propose to serve notice of the Sale Motion, the relief requested therein and the Sale Hearing as follows: by (a) mailing a copy of the Sale Motion, the order requestion relief requested herein and the notice annexed hereto as Exhibit “B” (the “Notice”) to (1) United States Postal Service, first class delivery, upon (i) the Office of the United States Trustee, (ii) the attorneys for the Debtor Sellers’ post-petition lenders, (iii) all non-debtor contracting parties with respect to the Assumed Agreements, (iv) all parties who have made written expressions of interest in acquiring the Assets, (v) all appropriate federal, state and local taxing authorities, (vi) all known persons holding a lien on any of the Assets, and (vii) all parties having filed a notice of appearance in the Debtor Sellers’ chapter 11 cases, (b) electronic notification through posting on the Bankruptcy Court’s website, </w:t>
      </w:r>
      <w:hyperlink r:id="rId2">
        <w:r>
          <w:rPr>
            <w:rStyle w:val="Hyperlink"/>
          </w:rPr>
          <w:t>www.nysb.uscourts.gov</w:t>
        </w:r>
      </w:hyperlink>
      <w:r>
        <w:rPr/>
        <w:t xml:space="preserve">. and (c) on or before December 21, 2001, publishing the Notice once in </w:t>
      </w:r>
      <w:r>
        <w:rPr>
          <w:u w:val="single"/>
        </w:rPr>
        <w:t>The New York Times</w:t>
      </w:r>
      <w:r>
        <w:rPr/>
        <w:t xml:space="preserve"> (national edition) and </w:t>
      </w:r>
      <w:r>
        <w:rPr>
          <w:u w:val="single"/>
        </w:rPr>
        <w:t>The Wall Street Journal</w:t>
      </w:r>
      <w:r>
        <w:rPr/>
        <w:t xml:space="preserve"> (national edition).  The Debtor Sellers submit that such notice constitutes good and sufficient notice of the proposed bidding procedures, the Sale Motion, and all proceedings to be held thereon and no other or further notice need be given.</w:t>
      </w:r>
    </w:p>
    <w:p>
      <w:pPr>
        <w:pStyle w:val="OutlineL3"/>
        <w:numPr>
          <w:ilvl w:val="2"/>
          <w:numId w:val="14"/>
        </w:numPr>
        <w:tabs>
          <w:tab w:val="left" w:pos="2160" w:leader="none"/>
        </w:tabs>
        <w:ind w:hanging="0" w:start="0"/>
        <w:rPr/>
      </w:pPr>
      <w:r>
        <w:rPr/>
        <w:t>Notice of this motion has been served in accordance with the Court’s order, dated December 14, 2001.  The Debtor Sellers submit that no other notice need be given.</w:t>
      </w:r>
      <w:r>
        <w:br w:type="page"/>
      </w:r>
    </w:p>
    <w:p>
      <w:pPr>
        <w:pStyle w:val="NumContinue"/>
        <w:jc w:val="center"/>
        <w:rPr>
          <w:b/>
          <w:u w:val="single"/>
        </w:rPr>
      </w:pPr>
      <w:r>
        <w:rPr>
          <w:b/>
          <w:u w:val="single"/>
        </w:rPr>
        <w:t>NO PRIOR REQUEST</w:t>
      </w:r>
    </w:p>
    <w:p>
      <w:pPr>
        <w:pStyle w:val="OutlineL3"/>
        <w:numPr>
          <w:ilvl w:val="2"/>
          <w:numId w:val="14"/>
        </w:numPr>
        <w:tabs>
          <w:tab w:val="left" w:pos="2160" w:leader="none"/>
        </w:tabs>
        <w:ind w:hanging="0" w:start="0"/>
        <w:rPr/>
      </w:pPr>
      <w:r>
        <w:rPr/>
        <w:t>No previous request for the relief sought herein has been made to this or any other Court.</w:t>
      </w:r>
    </w:p>
    <w:p>
      <w:pPr>
        <w:pStyle w:val="BodyText2"/>
        <w:rPr/>
      </w:pPr>
      <w:r>
        <w:rPr/>
        <w:t>WHEREFORE the Debtor Sellers respectfully request entry of an order granting the relief requested herein and such other and further relief as is just.</w:t>
      </w:r>
    </w:p>
    <w:p>
      <w:pPr>
        <w:pStyle w:val="BodyText"/>
        <w:rPr/>
      </w:pPr>
      <w:r>
        <w:rPr/>
      </w:r>
    </w:p>
    <w:p>
      <w:pPr>
        <w:pStyle w:val="BodyText"/>
        <w:tabs>
          <w:tab w:val="clear" w:pos="720"/>
          <w:tab w:val="left" w:pos="900" w:leader="none"/>
        </w:tabs>
        <w:spacing w:before="0" w:after="0"/>
        <w:rPr/>
      </w:pPr>
      <w:r>
        <w:rPr/>
        <w:t>Dated:</w:t>
        <w:tab/>
        <w:t>New York, New York</w:t>
      </w:r>
    </w:p>
    <w:p>
      <w:pPr>
        <w:pStyle w:val="BodyText"/>
        <w:tabs>
          <w:tab w:val="clear" w:pos="720"/>
          <w:tab w:val="left" w:pos="900" w:leader="none"/>
        </w:tabs>
        <w:rPr/>
      </w:pPr>
      <w:r>
        <w:rPr/>
        <w:tab/>
        <w:t>December 14, 2001</w:t>
      </w:r>
    </w:p>
    <w:p>
      <w:pPr>
        <w:pStyle w:val="Normal"/>
        <w:keepLines/>
        <w:ind w:firstLine="720" w:end="0"/>
        <w:rPr/>
      </w:pPr>
      <w:r>
        <w:rPr/>
      </w:r>
      <w:bookmarkStart w:id="1" w:name="zzmpPleading_Bankruptcy"/>
      <w:bookmarkStart w:id="2" w:name="zzmpPleading_Bankruptcy"/>
      <w:bookmarkEnd w:id="2"/>
    </w:p>
    <w:p>
      <w:pPr>
        <w:pStyle w:val="Signature"/>
        <w:keepLines/>
        <w:rPr/>
      </w:pPr>
      <w:r>
        <w:rPr/>
      </w:r>
    </w:p>
    <w:p>
      <w:pPr>
        <w:pStyle w:val="Signature"/>
        <w:keepLines/>
        <w:spacing w:before="0" w:after="0"/>
        <w:rPr/>
      </w:pPr>
      <w:r>
        <w:rPr/>
        <w:t>By:</w:t>
        <w:tab/>
      </w:r>
      <w:r>
        <w:rPr>
          <w:u w:val="single"/>
        </w:rPr>
        <w:tab/>
        <w:tab/>
        <w:tab/>
        <w:tab/>
        <w:tab/>
      </w:r>
    </w:p>
    <w:p>
      <w:pPr>
        <w:pStyle w:val="Signature"/>
        <w:keepLines/>
        <w:spacing w:before="0" w:after="0"/>
        <w:ind w:firstLine="720" w:end="0"/>
        <w:rPr/>
      </w:pPr>
      <w:r>
        <w:rPr/>
        <w:t>Martin J. Bienenstock (MB 3001)</w:t>
      </w:r>
    </w:p>
    <w:p>
      <w:pPr>
        <w:pStyle w:val="Signature"/>
        <w:keepLines/>
        <w:spacing w:before="0" w:after="0"/>
        <w:rPr/>
      </w:pPr>
      <w:r>
        <w:rPr/>
        <w:tab/>
        <w:t>Brian S. Rosen (BR 0571)</w:t>
      </w:r>
    </w:p>
    <w:p>
      <w:pPr>
        <w:pStyle w:val="Signature"/>
        <w:keepLines/>
        <w:spacing w:before="0" w:after="0"/>
        <w:rPr/>
      </w:pPr>
      <w:r>
        <w:rPr/>
        <w:tab/>
        <w:t>Melanie Gray</w:t>
      </w:r>
    </w:p>
    <w:p>
      <w:pPr>
        <w:pStyle w:val="Signature"/>
        <w:keepLines/>
        <w:spacing w:before="0" w:after="0"/>
        <w:rPr/>
      </w:pPr>
      <w:r>
        <w:rPr/>
        <w:tab/>
        <w:t>Martin A. Sosland</w:t>
      </w:r>
    </w:p>
    <w:p>
      <w:pPr>
        <w:pStyle w:val="Signature"/>
        <w:keepLines/>
        <w:spacing w:before="0" w:after="0"/>
        <w:rPr/>
      </w:pPr>
      <w:r>
        <w:rPr/>
        <w:tab/>
        <w:t>Weil, Gotshal &amp; Manges LLP</w:t>
      </w:r>
    </w:p>
    <w:p>
      <w:pPr>
        <w:pStyle w:val="Signature"/>
        <w:keepLines/>
        <w:spacing w:before="0" w:after="0"/>
        <w:rPr/>
      </w:pPr>
      <w:r>
        <w:rPr/>
        <w:tab/>
        <w:t>767 Fifth Avenue</w:t>
      </w:r>
    </w:p>
    <w:p>
      <w:pPr>
        <w:pStyle w:val="Signature"/>
        <w:keepLines/>
        <w:spacing w:before="0" w:after="0"/>
        <w:rPr/>
      </w:pPr>
      <w:r>
        <w:rPr/>
        <w:tab/>
        <w:t>New York, New York 10153</w:t>
      </w:r>
    </w:p>
    <w:p>
      <w:pPr>
        <w:pStyle w:val="Signature"/>
        <w:keepLines/>
        <w:spacing w:before="0" w:after="0"/>
        <w:rPr/>
      </w:pPr>
      <w:r>
        <w:rPr/>
        <w:tab/>
        <w:t>Telephone:  (212) 310-8000</w:t>
      </w:r>
    </w:p>
    <w:p>
      <w:pPr>
        <w:pStyle w:val="Signature"/>
        <w:keepLines/>
        <w:spacing w:before="0" w:after="120"/>
        <w:rPr/>
      </w:pPr>
      <w:r>
        <w:rPr/>
        <w:tab/>
        <w:t>Facsimile:  (212) 310-8007</w:t>
      </w:r>
    </w:p>
    <w:p>
      <w:pPr>
        <w:pStyle w:val="BodyText2"/>
        <w:keepNext w:val="true"/>
        <w:keepLines/>
        <w:spacing w:lineRule="auto" w:line="240"/>
        <w:ind w:hanging="0" w:start="4320" w:end="0"/>
        <w:rPr/>
      </w:pPr>
      <w:r>
        <w:rPr/>
        <w:t xml:space="preserve">ATTORNEYS FOR DEBTORS AND </w:t>
        <w:br/>
        <w:t>DEBTORS IN POSSESSION</w:t>
      </w:r>
    </w:p>
    <w:p>
      <w:pPr>
        <w:sectPr>
          <w:headerReference w:type="default" r:id="rId3"/>
          <w:headerReference w:type="first" r:id="rId4"/>
          <w:footerReference w:type="default" r:id="rId5"/>
          <w:footerReference w:type="first" r:id="rId6"/>
          <w:footnotePr>
            <w:numFmt w:val="decimal"/>
          </w:footnotePr>
          <w:type w:val="nextPage"/>
          <w:pgSz w:w="12240" w:h="15840"/>
          <w:pgMar w:left="1440" w:right="1440" w:gutter="0" w:header="360" w:top="1584" w:footer="720" w:bottom="1440"/>
          <w:pgNumType w:fmt="decimal"/>
          <w:formProt w:val="false"/>
          <w:titlePg/>
          <w:textDirection w:val="lrTb"/>
          <w:docGrid w:type="default" w:linePitch="360" w:charSpace="0"/>
        </w:sectPr>
        <w:pStyle w:val="Normal"/>
        <w:suppressAutoHyphens w:val="true"/>
        <w:ind w:firstLine="4320" w:end="0"/>
        <w:rPr/>
      </w:pPr>
      <w:r>
        <w:rPr/>
      </w:r>
    </w:p>
    <w:p>
      <w:pPr>
        <w:pStyle w:val="Normal"/>
        <w:spacing w:before="0" w:after="240"/>
        <w:jc w:val="center"/>
        <w:rPr>
          <w:b/>
        </w:rPr>
      </w:pPr>
      <w:r>
        <w:rPr>
          <w:b/>
          <w:sz w:val="28"/>
        </w:rPr>
        <w:t>EXHIBIT A</w:t>
      </w:r>
    </w:p>
    <w:p>
      <w:pPr>
        <w:sectPr>
          <w:headerReference w:type="default" r:id="rId7"/>
          <w:headerReference w:type="first" r:id="rId8"/>
          <w:footerReference w:type="default" r:id="rId9"/>
          <w:footerReference w:type="first" r:id="rId10"/>
          <w:footnotePr>
            <w:numFmt w:val="decimal"/>
          </w:footnotePr>
          <w:type w:val="nextPage"/>
          <w:pgSz w:w="12240" w:h="15840"/>
          <w:pgMar w:left="1440" w:right="1440" w:gutter="0" w:header="360" w:top="1584" w:footer="720" w:bottom="1440"/>
          <w:pgNumType w:start="1" w:fmt="decimal"/>
          <w:formProt w:val="false"/>
          <w:titlePg/>
          <w:textDirection w:val="lrTb"/>
          <w:docGrid w:type="default" w:linePitch="360" w:charSpace="0"/>
        </w:sectPr>
        <w:pStyle w:val="Normal"/>
        <w:spacing w:before="0" w:after="240"/>
        <w:jc w:val="center"/>
        <w:rPr>
          <w:b/>
        </w:rPr>
      </w:pPr>
      <w:r>
        <w:rPr>
          <w:b/>
        </w:rPr>
        <w:t>SALE MOTION</w:t>
        <w:br/>
        <w:t>(WITHOUT EXHIBITS)</w:t>
      </w:r>
    </w:p>
    <w:p>
      <w:pPr>
        <w:pStyle w:val="Normal"/>
        <w:spacing w:before="0" w:after="240"/>
        <w:jc w:val="center"/>
        <w:rPr>
          <w:b/>
        </w:rPr>
      </w:pPr>
      <w:r>
        <w:rPr>
          <w:b/>
          <w:sz w:val="28"/>
        </w:rPr>
        <w:t>EXHIBIT B</w:t>
      </w:r>
    </w:p>
    <w:p>
      <w:pPr>
        <w:pStyle w:val="Normal"/>
        <w:spacing w:before="0" w:after="240"/>
        <w:jc w:val="center"/>
        <w:rPr>
          <w:b/>
        </w:rPr>
      </w:pPr>
      <w:r>
        <w:rPr>
          <w:b/>
        </w:rPr>
        <w:t>NOTICE</w:t>
      </w:r>
    </w:p>
    <w:p>
      <w:pPr>
        <w:pStyle w:val="Normal"/>
        <w:spacing w:before="0" w:after="240"/>
        <w:jc w:val="center"/>
        <w:rPr>
          <w:b/>
        </w:rPr>
      </w:pPr>
      <w:r>
        <w:rPr>
          <w:b/>
        </w:rPr>
      </w:r>
    </w:p>
    <w:sectPr>
      <w:headerReference w:type="default" r:id="rId11"/>
      <w:headerReference w:type="first" r:id="rId12"/>
      <w:footerReference w:type="default" r:id="rId13"/>
      <w:footerReference w:type="first" r:id="rId14"/>
      <w:footnotePr>
        <w:numFmt w:val="decimal"/>
      </w:footnotePr>
      <w:type w:val="nextPage"/>
      <w:pgSz w:w="12240" w:h="15840"/>
      <w:pgMar w:left="1440" w:right="1440" w:gutter="0" w:header="360" w:top="1584"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EngraversGothic B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NY2:\1106283\02\NPM302!.DOC\43889.0003</w:t>
    </w:r>
    <w:r>
      <w:rPr>
        <w:rStyle w:val="TrailerWGM"/>
      </w:rPr>
      <w:fldChar w:fldCharType="end"/>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NY2:\1106283\02\NPM302!.DOC\43889.0003</w:t>
    </w:r>
    <w:r>
      <w:rPr>
        <w:rStyle w:val="TrailerWGM"/>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NY2:\1106283\02\NPM302!.DOC\43889.0003</w:t>
    </w:r>
    <w:r>
      <w:rPr>
        <w:rStyle w:val="TrailerWGM"/>
      </w:rPr>
      <w:fldChar w:fldCharType="end"/>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NY2:\1106283\02\NPM302!.DOC\43889.0003</w:t>
    </w:r>
    <w:r>
      <w:rPr>
        <w:rStyle w:val="TrailerWGM"/>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NY2:\1106283\02\NPM302!.DOC\43889.0003</w:t>
    </w:r>
    <w:r>
      <w:rPr>
        <w:rStyle w:val="TrailerWGM"/>
      </w:rPr>
      <w:fldChar w:fldCharType="end"/>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NY2:\1106283\02\NPM302!.DOC\43889.0003</w:t>
    </w:r>
    <w:r>
      <w:rPr>
        <w:rStyle w:val="TrailerWGM"/>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sz w:val="20"/>
        </w:rPr>
        <w:t xml:space="preserve"> </w:t>
      </w:r>
      <w:r>
        <w:rPr>
          <w:sz w:val="20"/>
        </w:rPr>
        <w:t>As indicated in the 10-Q, the numbers set forth above are unaudited.</w:t>
      </w:r>
    </w:p>
  </w:footnote>
  <w:footnote w:id="3">
    <w:p>
      <w:pPr>
        <w:pStyle w:val="FootnoteText"/>
        <w:spacing w:before="0" w:after="240"/>
        <w:rPr/>
      </w:pPr>
      <w:r>
        <w:rPr>
          <w:rStyle w:val="FootnoteCharacters"/>
        </w:rPr>
        <w:footnoteRef/>
      </w:r>
      <w:r>
        <w:rPr/>
        <w:t xml:space="preserve">  </w:t>
      </w:r>
      <w:r>
        <w:rPr/>
        <w:t>The Debtor Sellers reserve the right to revise and all of the Agreements prior to the commencement of the Auction, as defined below.</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true"/>
      <w:jc w:val="end"/>
      <w:rPr>
        <w:b/>
        <w:sz w:val="22"/>
      </w:rPr>
    </w:pPr>
    <w:r>
      <w:rPr>
        <w:b/>
        <w:sz w:val="22"/>
      </w:rPr>
      <w:t>Objection Deadline: December 17, 2001 @ 4:00 p.m.</w:t>
    </w:r>
  </w:p>
  <w:p>
    <w:pPr>
      <w:pStyle w:val="Header"/>
      <w:spacing w:lineRule="auto" w:line="240"/>
      <w:jc w:val="end"/>
      <w:rPr>
        <w:b/>
        <w:sz w:val="22"/>
      </w:rPr>
    </w:pPr>
    <w:r>
      <w:rPr>
        <w:b/>
        <w:sz w:val="22"/>
      </w:rPr>
      <w:t>Hearing Date: December 18, 2001 @ 4:00 p.m.</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upperLetter"/>
      <w:lvlText w:val="%1."/>
      <w:lvlJc w:val="start"/>
      <w:pPr>
        <w:tabs>
          <w:tab w:val="num" w:pos="360"/>
        </w:tabs>
        <w:ind w:start="360" w:hanging="360"/>
      </w:pPr>
    </w:lvl>
  </w:abstractNum>
  <w:abstractNum w:abstractNumId="12">
    <w:lvl w:ilvl="0">
      <w:start w:val="1"/>
      <w:numFmt w:val="upperLetter"/>
      <w:lvlText w:val="%1."/>
      <w:lvlJc w:val="start"/>
      <w:pPr>
        <w:tabs>
          <w:tab w:val="num" w:pos="360"/>
        </w:tabs>
        <w:ind w:start="360" w:hanging="360"/>
      </w:pPr>
    </w:lvl>
  </w:abstractNum>
  <w:abstractNum w:abstractNumId="13">
    <w:lvl w:ilvl="0">
      <w:start w:val="1"/>
      <w:numFmt w:val="upperLetter"/>
      <w:lvlText w:val="%1."/>
      <w:lvlJc w:val="start"/>
      <w:pPr>
        <w:tabs>
          <w:tab w:val="num" w:pos="360"/>
        </w:tabs>
        <w:ind w:start="360" w:hanging="360"/>
      </w:pPr>
    </w:lvl>
  </w:abstractNum>
  <w:abstractNum w:abstractNumId="14">
    <w:lvl w:ilvl="0">
      <w:start w:val="1"/>
      <w:numFmt w:val="upperRoman"/>
      <w:lvlText w:val="%1."/>
      <w:lvlJc w:val="start"/>
      <w:pPr>
        <w:tabs>
          <w:tab w:val="num" w:pos="72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numFmt w:val="upperLetter"/>
      <w:lvlText w:val="%2."/>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3."/>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520"/>
        </w:tabs>
        <w:ind w:start="72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2520"/>
        </w:tabs>
        <w:ind w:start="72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468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Letter"/>
      <w:lvlText w:val="%9)"/>
      <w:lvlJc w:val="start"/>
      <w:pPr>
        <w:tabs>
          <w:tab w:val="num" w:pos="612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5">
    <w:lvl w:ilvl="0">
      <w:start w:val="1"/>
      <w:numFmt w:val="lowerLetter"/>
      <w:lvlText w:val="%1."/>
      <w:lvlJc w:val="start"/>
      <w:pPr>
        <w:tabs>
          <w:tab w:val="num" w:pos="2160"/>
        </w:tabs>
        <w:ind w:start="2160" w:hanging="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decimal"/>
      <w:lvlText w:val="%2."/>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Roman"/>
      <w:lvlText w:val="(%3)"/>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decimal"/>
      <w:lvlText w:val="(%4)"/>
      <w:lvlJc w:val="start"/>
      <w:pPr>
        <w:tabs>
          <w:tab w:val="num" w:pos="324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Letter"/>
      <w:lvlText w:val="%5."/>
      <w:lvlJc w:val="start"/>
      <w:pPr>
        <w:tabs>
          <w:tab w:val="num" w:pos="396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40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12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0" w:firstLine="648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6">
    <w:lvl w:ilvl="0">
      <w:start w:val="1"/>
      <w:numFmt w:val="decimal"/>
      <w:lvlText w:val="%1."/>
      <w:lvlJc w:val="start"/>
      <w:pPr>
        <w:tabs>
          <w:tab w:val="num" w:pos="36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Roman"/>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decimal"/>
      <w:lvlText w:val="(%4)"/>
      <w:lvlJc w:val="start"/>
      <w:pPr>
        <w:tabs>
          <w:tab w:val="num" w:pos="252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Letter"/>
      <w:lvlText w:val="%5."/>
      <w:lvlJc w:val="start"/>
      <w:pPr>
        <w:tabs>
          <w:tab w:val="num" w:pos="324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468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540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7">
    <w:lvl w:ilvl="0">
      <w:start w:val="1"/>
      <w:numFmt w:val="upperLetter"/>
      <w:lvlText w:val="%1."/>
      <w:lvlJc w:val="start"/>
      <w:pPr>
        <w:tabs>
          <w:tab w:val="num" w:pos="360"/>
        </w:tabs>
        <w:ind w:start="360" w:hanging="360"/>
      </w:pPr>
    </w:lvl>
  </w:abstractNum>
  <w:abstractNum w:abstractNumId="18">
    <w:lvl w:ilvl="0">
      <w:start w:val="1"/>
      <w:numFmt w:val="upp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DOCX97_60" w:val="YesAdvance"/>
    <w:docVar w:name="DOCX97_62" w:val="NoPrivate"/>
    <w:docVar w:name="DOCX97_65" w:val="GoodChars"/>
    <w:docVar w:name="DOCX97_66" w:val="GoodQuotes"/>
    <w:docVar w:name="DOCX97_69" w:val="NoInternational"/>
    <w:docVar w:name="DOCX97_89" w:val="Word8MacrosDone"/>
    <w:docVar w:name="zzmpFixed_PleadingPaperType" w:val="PP26None"/>
    <w:docVar w:name="zzmpFixedCurrentTOCScheme" w:val="Outline"/>
    <w:docVar w:name="zzmpFixedCurScheme" w:val="Outli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
    <w:qFormat/>
    <w:pPr>
      <w:keepNext w:val="true"/>
      <w:numPr>
        <w:ilvl w:val="2"/>
        <w:numId w:val="1"/>
      </w:numPr>
      <w:spacing w:lineRule="auto" w:line="480"/>
      <w:jc w:val="both"/>
      <w:outlineLvl w:val="2"/>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u w:val="none"/>
    </w:rPr>
  </w:style>
  <w:style w:type="character" w:styleId="WW8Num11z1">
    <w:name w:val="WW8Num11z1"/>
    <w:qFormat/>
    <w:rPr>
      <w:rFonts w:ascii="Courier New" w:hAnsi="Courier New" w:cs="Courier New"/>
      <w:b/>
      <w:u w:val="none"/>
    </w:rPr>
  </w:style>
  <w:style w:type="character" w:styleId="WW8Num11z2">
    <w:name w:val="WW8Num11z2"/>
    <w:qFormat/>
    <w:rPr>
      <w:b w:val="false"/>
      <w:u w:val="none"/>
    </w:rPr>
  </w:style>
  <w:style w:type="character" w:styleId="WW8Num16z0">
    <w:name w:val="WW8Num16z0"/>
    <w:qFormat/>
    <w:rPr>
      <w:b w:val="false"/>
      <w:i w:val="false"/>
      <w:caps/>
      <w:strike w:val="false"/>
      <w:dstrike w:val="false"/>
      <w:outline w:val="false"/>
      <w:shadow w:val="false"/>
      <w:vanish w:val="false"/>
      <w:color w:val="auto"/>
      <w:position w:val="0"/>
      <w:sz w:val="24"/>
      <w:u w:val="none"/>
      <w:vertAlign w:val="baseline"/>
    </w:rPr>
  </w:style>
  <w:style w:type="character" w:styleId="WW8Num16z1">
    <w:name w:val="WW8Num16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7z0">
    <w:name w:val="WW8Num17z0"/>
    <w:qFormat/>
    <w:rPr>
      <w:b w:val="false"/>
      <w:i w:val="false"/>
      <w:caps/>
      <w:strike w:val="false"/>
      <w:dstrike w:val="false"/>
      <w:outline w:val="false"/>
      <w:shadow w:val="false"/>
      <w:vanish w:val="false"/>
      <w:color w:val="auto"/>
      <w:position w:val="0"/>
      <w:sz w:val="24"/>
      <w:u w:val="none"/>
      <w:vertAlign w:val="baseline"/>
    </w:rPr>
  </w:style>
  <w:style w:type="character" w:styleId="WW8Num17z1">
    <w:name w:val="WW8Num17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8z0">
    <w:name w:val="WW8Num18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0z0">
    <w:name w:val="WW8Num20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raNum">
    <w:name w:val="ParaNum"/>
    <w:basedOn w:val="DefaultParagraphFont"/>
    <w:qFormat/>
    <w:rPr/>
  </w:style>
  <w:style w:type="character" w:styleId="TrailerWGM">
    <w:name w:val="Trailer WGM"/>
    <w:basedOn w:val="DefaultParagraphFont"/>
    <w:qFormat/>
    <w:rPr>
      <w:caps/>
      <w:sz w:val="14"/>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before="240" w:after="240"/>
      <w:jc w:val="center"/>
      <w:outlineLvl w:val="0"/>
    </w:pPr>
    <w:rPr>
      <w:rFonts w:ascii="Times New Roman Bold;Times New Roman" w:hAnsi="Times New Roman Bold;Times New Roman" w:cs="Times New Roman Bold;Times New Roman"/>
      <w:b/>
      <w:kern w:val="2"/>
    </w:rPr>
  </w:style>
  <w:style w:type="paragraph" w:styleId="BodyText">
    <w:name w:val="Body Text"/>
    <w:basedOn w:val="Normal"/>
    <w:pPr>
      <w:spacing w:before="0" w:after="240"/>
    </w:pPr>
    <w:rPr>
      <w:sz w:val="24"/>
    </w:rPr>
  </w:style>
  <w:style w:type="paragraph" w:styleId="List">
    <w:name w:val="List"/>
    <w:basedOn w:val="Normal"/>
    <w:pPr>
      <w:numPr>
        <w:ilvl w:val="0"/>
        <w:numId w:val="11"/>
      </w:numPr>
      <w:spacing w:before="0" w:after="240"/>
    </w:pPr>
    <w:rPr>
      <w:sz w:val="24"/>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Tab">
    <w:name w:val="Block Text Tab"/>
    <w:basedOn w:val="Normal"/>
    <w:qFormat/>
    <w:pPr>
      <w:spacing w:before="0" w:after="240"/>
      <w:ind w:firstLine="720" w:start="1440" w:end="1440"/>
    </w:pPr>
    <w:rPr>
      <w:sz w:val="24"/>
    </w:rPr>
  </w:style>
  <w:style w:type="paragraph" w:styleId="BlockText">
    <w:name w:val="Block Text"/>
    <w:basedOn w:val="Normal"/>
    <w:qFormat/>
    <w:pPr>
      <w:spacing w:before="0" w:after="240"/>
      <w:ind w:hanging="0" w:start="1440" w:end="1440"/>
    </w:pPr>
    <w:rPr>
      <w:sz w:val="24"/>
    </w:rPr>
  </w:style>
  <w:style w:type="paragraph" w:styleId="BodyText2">
    <w:name w:val="Body Text 2"/>
    <w:basedOn w:val="Normal"/>
    <w:qFormat/>
    <w:pPr>
      <w:spacing w:lineRule="auto" w:line="480"/>
      <w:ind w:firstLine="1440" w:start="0" w:end="0"/>
    </w:pPr>
    <w:rPr/>
  </w:style>
  <w:style w:type="paragraph" w:styleId="BodyText3">
    <w:name w:val="Body Text 3"/>
    <w:basedOn w:val="Normal"/>
    <w:qFormat/>
    <w:pPr>
      <w:spacing w:before="0" w:after="240"/>
    </w:pPr>
    <w:rPr>
      <w:sz w:val="24"/>
    </w:rPr>
  </w:style>
  <w:style w:type="paragraph" w:styleId="BodyTextIndent">
    <w:name w:val="Body Text Indent"/>
    <w:basedOn w:val="Normal"/>
    <w:pPr>
      <w:spacing w:before="0" w:after="240"/>
      <w:ind w:hanging="0" w:start="1440" w:end="0"/>
    </w:pPr>
    <w:rPr>
      <w:sz w:val="24"/>
    </w:rPr>
  </w:style>
  <w:style w:type="paragraph" w:styleId="BodyTextFirstIndent2">
    <w:name w:val="Body Text First Indent 2"/>
    <w:basedOn w:val="BodyTextIndent"/>
    <w:qFormat/>
    <w:pPr>
      <w:spacing w:lineRule="auto" w:line="480"/>
      <w:ind w:firstLine="720" w:start="1440" w:end="0"/>
    </w:pPr>
    <w:rPr/>
  </w:style>
  <w:style w:type="paragraph" w:styleId="BodyTextFirstIndent">
    <w:name w:val="Body Text First Indent"/>
    <w:basedOn w:val="BodyText"/>
    <w:qFormat/>
    <w:pPr>
      <w:ind w:firstLine="720" w:start="1440" w:end="0"/>
    </w:pPr>
    <w:rPr/>
  </w:style>
  <w:style w:type="paragraph" w:styleId="BodyTextIndent2">
    <w:name w:val="Body Text Indent 2"/>
    <w:basedOn w:val="Normal"/>
    <w:qFormat/>
    <w:pPr>
      <w:spacing w:lineRule="auto" w:line="480" w:before="0" w:after="120"/>
      <w:ind w:hanging="0" w:start="1440" w:end="0"/>
    </w:pPr>
    <w:rPr>
      <w:sz w:val="24"/>
    </w:rPr>
  </w:style>
  <w:style w:type="paragraph" w:styleId="BodyTextIndent3">
    <w:name w:val="Body Text Indent 3"/>
    <w:basedOn w:val="Normal"/>
    <w:qFormat/>
    <w:pPr>
      <w:tabs>
        <w:tab w:val="clear" w:pos="720"/>
        <w:tab w:val="left" w:pos="4320" w:leader="none"/>
      </w:tabs>
      <w:spacing w:before="0" w:after="120"/>
      <w:ind w:hanging="4320" w:start="4320" w:end="0"/>
    </w:pPr>
    <w:rPr>
      <w:sz w:val="24"/>
    </w:rPr>
  </w:style>
  <w:style w:type="paragraph" w:styleId="EndnoteText">
    <w:name w:val="endnote text"/>
    <w:basedOn w:val="Normal"/>
    <w:pPr>
      <w:spacing w:before="0" w:after="240"/>
    </w:pPr>
    <w:rPr>
      <w:sz w:val="24"/>
    </w:rPr>
  </w:style>
  <w:style w:type="paragraph" w:styleId="FootnoteText">
    <w:name w:val="footnote text"/>
    <w:basedOn w:val="Normal"/>
    <w:pPr>
      <w:spacing w:before="0" w:after="240"/>
    </w:pPr>
    <w:rPr/>
  </w:style>
  <w:style w:type="paragraph" w:styleId="ListBullet2">
    <w:name w:val="List Bullet 2"/>
    <w:basedOn w:val="List"/>
    <w:pPr>
      <w:spacing w:before="0" w:after="120"/>
      <w:ind w:hanging="360" w:start="720"/>
    </w:pPr>
    <w:rPr/>
  </w:style>
  <w:style w:type="paragraph" w:styleId="WW-List2">
    <w:name w:val="WW-List 2"/>
    <w:basedOn w:val="Normal"/>
    <w:qFormat/>
    <w:pPr>
      <w:numPr>
        <w:ilvl w:val="0"/>
        <w:numId w:val="18"/>
      </w:numPr>
      <w:spacing w:before="0" w:after="240"/>
      <w:ind w:hanging="0" w:start="1080" w:end="0"/>
    </w:pPr>
    <w:rPr>
      <w:sz w:val="24"/>
    </w:rPr>
  </w:style>
  <w:style w:type="paragraph" w:styleId="ListBullet3">
    <w:name w:val="List Bullet 3"/>
    <w:basedOn w:val="List"/>
    <w:pPr>
      <w:spacing w:before="0" w:after="120"/>
      <w:ind w:hanging="360" w:start="1080"/>
    </w:pPr>
    <w:rPr/>
  </w:style>
  <w:style w:type="paragraph" w:styleId="WW-List3">
    <w:name w:val="WW-List 3"/>
    <w:basedOn w:val="Normal"/>
    <w:qFormat/>
    <w:pPr>
      <w:numPr>
        <w:ilvl w:val="0"/>
        <w:numId w:val="13"/>
      </w:numPr>
      <w:spacing w:before="0" w:after="240"/>
      <w:ind w:hanging="720" w:start="2160" w:end="0"/>
    </w:pPr>
    <w:rPr>
      <w:sz w:val="24"/>
    </w:rPr>
  </w:style>
  <w:style w:type="paragraph" w:styleId="ListBullet4">
    <w:name w:val="List Bullet 4"/>
    <w:basedOn w:val="List"/>
    <w:pPr>
      <w:spacing w:before="0" w:after="120"/>
      <w:ind w:hanging="360" w:start="1440"/>
    </w:pPr>
    <w:rPr/>
  </w:style>
  <w:style w:type="paragraph" w:styleId="WW-List4">
    <w:name w:val="WW-List 4"/>
    <w:basedOn w:val="Normal"/>
    <w:qFormat/>
    <w:pPr>
      <w:numPr>
        <w:ilvl w:val="0"/>
        <w:numId w:val="17"/>
      </w:numPr>
      <w:spacing w:before="0" w:after="240"/>
      <w:ind w:hanging="720" w:start="2880" w:end="0"/>
    </w:pPr>
    <w:rPr>
      <w:sz w:val="24"/>
    </w:rPr>
  </w:style>
  <w:style w:type="paragraph" w:styleId="ListBullet5">
    <w:name w:val="List Bullet 5"/>
    <w:basedOn w:val="List"/>
    <w:pPr>
      <w:spacing w:before="0" w:after="120"/>
      <w:ind w:hanging="360" w:start="1800"/>
    </w:pPr>
    <w:rPr/>
  </w:style>
  <w:style w:type="paragraph" w:styleId="WW-List5">
    <w:name w:val="WW-List 5"/>
    <w:basedOn w:val="Normal"/>
    <w:qFormat/>
    <w:pPr>
      <w:numPr>
        <w:ilvl w:val="0"/>
        <w:numId w:val="12"/>
      </w:numPr>
      <w:spacing w:before="0" w:after="240"/>
      <w:ind w:hanging="720" w:start="3600" w:end="0"/>
    </w:pPr>
    <w:rPr>
      <w:sz w:val="24"/>
    </w:rPr>
  </w:style>
  <w:style w:type="paragraph" w:styleId="ListBullet31">
    <w:name w:val="List Bullet 31"/>
    <w:basedOn w:val="Normal"/>
    <w:qFormat/>
    <w:pPr>
      <w:numPr>
        <w:ilvl w:val="0"/>
        <w:numId w:val="8"/>
      </w:numPr>
      <w:spacing w:before="0" w:after="240"/>
      <w:ind w:hanging="720" w:start="2160" w:end="0"/>
    </w:pPr>
    <w:rPr>
      <w:sz w:val="24"/>
    </w:rPr>
  </w:style>
  <w:style w:type="paragraph" w:styleId="ListBullet41">
    <w:name w:val="List Bullet 41"/>
    <w:basedOn w:val="Normal"/>
    <w:qFormat/>
    <w:pPr>
      <w:numPr>
        <w:ilvl w:val="0"/>
        <w:numId w:val="7"/>
      </w:numPr>
      <w:spacing w:before="0" w:after="240"/>
      <w:ind w:hanging="720" w:start="2880" w:end="0"/>
    </w:pPr>
    <w:rPr>
      <w:sz w:val="24"/>
    </w:rPr>
  </w:style>
  <w:style w:type="paragraph" w:styleId="ListBullet51">
    <w:name w:val="List Bullet 51"/>
    <w:basedOn w:val="Normal"/>
    <w:qFormat/>
    <w:pPr>
      <w:numPr>
        <w:ilvl w:val="0"/>
        <w:numId w:val="6"/>
      </w:numPr>
      <w:spacing w:before="0" w:after="240"/>
      <w:ind w:hanging="720" w:start="3600" w:end="0"/>
    </w:pPr>
    <w:rPr>
      <w:sz w:val="24"/>
    </w:rPr>
  </w:style>
  <w:style w:type="paragraph" w:styleId="ListBullet">
    <w:name w:val="List Bullet"/>
    <w:basedOn w:val="Normal"/>
    <w:qFormat/>
    <w:pPr>
      <w:numPr>
        <w:ilvl w:val="0"/>
        <w:numId w:val="10"/>
      </w:numPr>
      <w:tabs>
        <w:tab w:val="left" w:pos="720" w:leader="none"/>
      </w:tabs>
      <w:spacing w:before="0" w:after="240"/>
      <w:ind w:hanging="720" w:start="720" w:end="0"/>
    </w:pPr>
    <w:rPr>
      <w:sz w:val="24"/>
    </w:rPr>
  </w:style>
  <w:style w:type="paragraph" w:styleId="ListContinue2">
    <w:name w:val="List Continue 2"/>
    <w:basedOn w:val="Normal"/>
    <w:qFormat/>
    <w:pPr>
      <w:spacing w:before="0" w:after="240"/>
      <w:ind w:hanging="0" w:start="1440" w:end="0"/>
    </w:pPr>
    <w:rPr>
      <w:sz w:val="24"/>
    </w:rPr>
  </w:style>
  <w:style w:type="paragraph" w:styleId="ListContinue3">
    <w:name w:val="List Continue 3"/>
    <w:basedOn w:val="Normal"/>
    <w:qFormat/>
    <w:pPr>
      <w:spacing w:before="0" w:after="240"/>
      <w:ind w:hanging="0" w:start="2160" w:end="0"/>
    </w:pPr>
    <w:rPr>
      <w:sz w:val="24"/>
    </w:rPr>
  </w:style>
  <w:style w:type="paragraph" w:styleId="ListContinue4">
    <w:name w:val="List Continue 4"/>
    <w:basedOn w:val="Normal"/>
    <w:qFormat/>
    <w:pPr>
      <w:spacing w:before="0" w:after="240"/>
      <w:ind w:hanging="0" w:start="2880" w:end="0"/>
    </w:pPr>
    <w:rPr>
      <w:sz w:val="24"/>
    </w:rPr>
  </w:style>
  <w:style w:type="paragraph" w:styleId="ListContinue5">
    <w:name w:val="List Continue 5"/>
    <w:basedOn w:val="Normal"/>
    <w:qFormat/>
    <w:pPr>
      <w:spacing w:before="0" w:after="240"/>
      <w:ind w:hanging="0" w:start="3600" w:end="0"/>
    </w:pPr>
    <w:rPr>
      <w:sz w:val="24"/>
    </w:rPr>
  </w:style>
  <w:style w:type="paragraph" w:styleId="ListContinue">
    <w:name w:val="List Continue"/>
    <w:basedOn w:val="Normal"/>
    <w:qFormat/>
    <w:pPr>
      <w:spacing w:before="0" w:after="240"/>
      <w:ind w:hanging="0" w:start="720" w:end="0"/>
    </w:pPr>
    <w:rPr>
      <w:sz w:val="24"/>
    </w:rPr>
  </w:style>
  <w:style w:type="paragraph" w:styleId="ListNumber2">
    <w:name w:val="List Number 2"/>
    <w:basedOn w:val="Normal"/>
    <w:qFormat/>
    <w:pPr>
      <w:numPr>
        <w:ilvl w:val="0"/>
        <w:numId w:val="5"/>
      </w:numPr>
      <w:spacing w:before="0" w:after="240"/>
      <w:ind w:hanging="720" w:start="1440" w:end="0"/>
    </w:pPr>
    <w:rPr>
      <w:sz w:val="24"/>
    </w:rPr>
  </w:style>
  <w:style w:type="paragraph" w:styleId="ListNumber3">
    <w:name w:val="List Number 3"/>
    <w:basedOn w:val="Normal"/>
    <w:qFormat/>
    <w:pPr>
      <w:numPr>
        <w:ilvl w:val="0"/>
        <w:numId w:val="4"/>
      </w:numPr>
      <w:tabs>
        <w:tab w:val="left" w:pos="720" w:leader="none"/>
      </w:tabs>
      <w:spacing w:before="0" w:after="240"/>
      <w:ind w:hanging="720" w:start="2160" w:end="0"/>
    </w:pPr>
    <w:rPr>
      <w:sz w:val="24"/>
    </w:rPr>
  </w:style>
  <w:style w:type="paragraph" w:styleId="ListNumber4">
    <w:name w:val="List Number 4"/>
    <w:basedOn w:val="Normal"/>
    <w:qFormat/>
    <w:pPr>
      <w:numPr>
        <w:ilvl w:val="0"/>
        <w:numId w:val="3"/>
      </w:numPr>
      <w:spacing w:before="0" w:after="240"/>
      <w:ind w:hanging="720" w:start="2880" w:end="0"/>
    </w:pPr>
    <w:rPr>
      <w:sz w:val="24"/>
    </w:rPr>
  </w:style>
  <w:style w:type="paragraph" w:styleId="ListNumber5">
    <w:name w:val="List Number 5"/>
    <w:basedOn w:val="Normal"/>
    <w:qFormat/>
    <w:pPr>
      <w:numPr>
        <w:ilvl w:val="0"/>
        <w:numId w:val="2"/>
      </w:numPr>
      <w:spacing w:before="0" w:after="240"/>
      <w:ind w:hanging="720" w:start="3600" w:end="0"/>
    </w:pPr>
    <w:rPr>
      <w:sz w:val="24"/>
    </w:rPr>
  </w:style>
  <w:style w:type="paragraph" w:styleId="ListNumber">
    <w:name w:val="List Number"/>
    <w:basedOn w:val="Normal"/>
    <w:qFormat/>
    <w:pPr>
      <w:numPr>
        <w:ilvl w:val="0"/>
        <w:numId w:val="9"/>
      </w:numPr>
      <w:spacing w:before="0" w:after="240"/>
      <w:ind w:hanging="720" w:start="720" w:end="0"/>
    </w:pPr>
    <w:rPr>
      <w:sz w:val="24"/>
    </w:rPr>
  </w:style>
  <w:style w:type="paragraph" w:styleId="EnvelopeAddress">
    <w:name w:val="envelope address"/>
    <w:basedOn w:val="Normal"/>
    <w:pPr>
      <w:ind w:hanging="0" w:start="2880" w:end="0"/>
    </w:pPr>
    <w:rPr>
      <w:rFonts w:ascii="Arial" w:hAnsi="Arial" w:cs="Arial"/>
      <w:sz w:val="24"/>
    </w:rPr>
  </w:style>
  <w:style w:type="paragraph" w:styleId="PlainText">
    <w:name w:val="Plain Text"/>
    <w:basedOn w:val="Normal"/>
    <w:qFormat/>
    <w:pPr>
      <w:spacing w:before="0" w:after="240"/>
    </w:pPr>
    <w:rPr>
      <w:sz w:val="24"/>
    </w:rPr>
  </w:style>
  <w:style w:type="paragraph" w:styleId="Signature">
    <w:name w:val="Signature"/>
    <w:basedOn w:val="Normal"/>
    <w:pPr>
      <w:spacing w:before="0" w:after="240"/>
      <w:ind w:hanging="0" w:start="4320" w:end="0"/>
    </w:pPr>
    <w:rPr>
      <w:sz w:val="24"/>
    </w:rPr>
  </w:style>
  <w:style w:type="paragraph" w:styleId="Subtitle">
    <w:name w:val="Subtitle"/>
    <w:basedOn w:val="Normal"/>
    <w:next w:val="BodyText"/>
    <w:qFormat/>
    <w:pPr>
      <w:spacing w:before="0" w:after="240"/>
      <w:jc w:val="center"/>
      <w:outlineLvl w:val="1"/>
    </w:pPr>
    <w:rPr>
      <w:sz w:val="24"/>
    </w:rPr>
  </w:style>
  <w:style w:type="paragraph" w:styleId="TableofAuthorities">
    <w:name w:val="Table of Authorities"/>
    <w:basedOn w:val="Normal"/>
    <w:next w:val="Normal"/>
    <w:qFormat/>
    <w:pPr>
      <w:spacing w:before="0" w:after="240"/>
      <w:ind w:hanging="245" w:start="245" w:end="0"/>
    </w:pPr>
    <w:rPr>
      <w:sz w:val="24"/>
    </w:rPr>
  </w:style>
  <w:style w:type="paragraph" w:styleId="TOAHeading">
    <w:name w:val="TOA Heading"/>
    <w:basedOn w:val="Normal"/>
    <w:next w:val="Normal"/>
    <w:qFormat/>
    <w:pPr>
      <w:spacing w:before="240" w:after="240"/>
    </w:pPr>
    <w:rPr>
      <w:b/>
      <w:sz w:val="24"/>
    </w:rPr>
  </w:style>
  <w:style w:type="paragraph" w:styleId="EnvelopeWGMReturn">
    <w:name w:val="Envelope WGM Return"/>
    <w:basedOn w:val="Normal"/>
    <w:qFormat/>
    <w:pPr>
      <w:spacing w:before="0" w:after="360"/>
    </w:pPr>
    <w:rPr>
      <w:b/>
    </w:rPr>
  </w:style>
  <w:style w:type="paragraph" w:styleId="Memohead">
    <w:name w:val="Memohead"/>
    <w:qFormat/>
    <w:pPr>
      <w:widowControl/>
      <w:bidi w:val="0"/>
      <w:spacing w:before="0" w:after="240"/>
    </w:pPr>
    <w:rPr>
      <w:rFonts w:ascii="Times New Roman" w:hAnsi="Times New Roman" w:eastAsia="Times New Roman" w:cs="Times New Roman"/>
      <w:b/>
      <w:color w:val="auto"/>
      <w:sz w:val="20"/>
      <w:szCs w:val="20"/>
      <w:lang w:val="en-CA" w:eastAsia="zh-CN" w:bidi="hi-IN"/>
    </w:rPr>
  </w:style>
  <w:style w:type="paragraph" w:styleId="Memorandum">
    <w:name w:val="Memorandum"/>
    <w:basedOn w:val="Normal"/>
    <w:qFormat/>
    <w:pPr>
      <w:spacing w:before="0" w:after="720"/>
      <w:jc w:val="center"/>
    </w:pPr>
    <w:rPr>
      <w:rFonts w:ascii="EngraversGothic BT" w:hAnsi="EngraversGothic BT" w:cs="EngraversGothic BT"/>
      <w:b/>
      <w:spacing w:val="100"/>
      <w:sz w:val="28"/>
    </w:rPr>
  </w:style>
  <w:style w:type="paragraph" w:styleId="BlockText2">
    <w:name w:val="Block Text 2"/>
    <w:basedOn w:val="Normal"/>
    <w:qFormat/>
    <w:pPr>
      <w:spacing w:lineRule="auto" w:line="480"/>
      <w:ind w:hanging="0" w:start="1440" w:end="1440"/>
    </w:pPr>
    <w:rPr/>
  </w:style>
  <w:style w:type="paragraph" w:styleId="BodyText4">
    <w:name w:val="Body Text 4"/>
    <w:basedOn w:val="Normal"/>
    <w:qFormat/>
    <w:pPr>
      <w:spacing w:lineRule="auto" w:line="480"/>
    </w:pPr>
    <w:rPr/>
  </w:style>
  <w:style w:type="paragraph" w:styleId="DocX97Comment">
    <w:name w:val="DocX97Comment"/>
    <w:basedOn w:val="Normal"/>
    <w:qFormat/>
    <w:pPr/>
    <w:rPr>
      <w:b/>
      <w:i/>
      <w:color w:val="FF0000"/>
      <w:sz w:val="16"/>
    </w:rPr>
  </w:style>
  <w:style w:type="paragraph" w:styleId="BodyTextContinued">
    <w:name w:val="Body Text Continued"/>
    <w:basedOn w:val="BodyText"/>
    <w:next w:val="BodyText"/>
    <w:qFormat/>
    <w:pPr>
      <w:widowControl w:val="false"/>
      <w:spacing w:before="0" w:after="0"/>
      <w:ind w:hanging="0" w:start="0" w:end="0"/>
      <w:jc w:val="both"/>
    </w:pPr>
    <w:rPr/>
  </w:style>
  <w:style w:type="paragraph" w:styleId="Centered">
    <w:name w:val="Centered"/>
    <w:basedOn w:val="Normal"/>
    <w:next w:val="BodyText"/>
    <w:qFormat/>
    <w:pPr>
      <w:keepNext w:val="true"/>
      <w:widowControl w:val="false"/>
      <w:spacing w:lineRule="auto" w:line="480"/>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9360" w:leader="none"/>
      </w:tabs>
      <w:spacing w:lineRule="exact" w:line="200"/>
      <w:jc w:val="both"/>
    </w:pPr>
    <w:rPr/>
  </w:style>
  <w:style w:type="paragraph" w:styleId="Header">
    <w:name w:val="header"/>
    <w:basedOn w:val="Normal"/>
    <w:pPr>
      <w:widowControl w:val="false"/>
      <w:tabs>
        <w:tab w:val="clear" w:pos="720"/>
        <w:tab w:val="center" w:pos="4320" w:leader="none"/>
        <w:tab w:val="right" w:pos="9360" w:leader="none"/>
      </w:tabs>
      <w:spacing w:lineRule="exact" w:line="240"/>
      <w:jc w:val="both"/>
    </w:pPr>
    <w:rPr/>
  </w:style>
  <w:style w:type="paragraph" w:styleId="NumContinue">
    <w:name w:val="Num Continue"/>
    <w:basedOn w:val="BodyText"/>
    <w:qFormat/>
    <w:pPr>
      <w:widowControl w:val="false"/>
      <w:jc w:val="both"/>
    </w:pPr>
    <w:rPr/>
  </w:style>
  <w:style w:type="paragraph" w:styleId="OutlineL1">
    <w:name w:val="Outline_L1"/>
    <w:basedOn w:val="Normal"/>
    <w:next w:val="NumContinue"/>
    <w:qFormat/>
    <w:pPr>
      <w:numPr>
        <w:ilvl w:val="0"/>
        <w:numId w:val="14"/>
      </w:numPr>
      <w:spacing w:before="0" w:after="240"/>
      <w:outlineLvl w:val="0"/>
    </w:pPr>
    <w:rPr/>
  </w:style>
  <w:style w:type="paragraph" w:styleId="OutlineL2">
    <w:name w:val="Outline_L2"/>
    <w:basedOn w:val="OutlineL1"/>
    <w:next w:val="NumContinue"/>
    <w:qFormat/>
    <w:pPr>
      <w:numPr>
        <w:ilvl w:val="0"/>
        <w:numId w:val="14"/>
      </w:numPr>
      <w:tabs>
        <w:tab w:val="clear" w:pos="720"/>
        <w:tab w:val="left" w:pos="1440" w:leader="none"/>
      </w:tabs>
      <w:outlineLvl w:val="1"/>
    </w:pPr>
    <w:rPr/>
  </w:style>
  <w:style w:type="paragraph" w:styleId="OutlineL3">
    <w:name w:val="Outline_L3"/>
    <w:basedOn w:val="OutlineL2"/>
    <w:next w:val="NumContinue"/>
    <w:qFormat/>
    <w:pPr>
      <w:numPr>
        <w:ilvl w:val="0"/>
        <w:numId w:val="14"/>
      </w:numPr>
      <w:tabs>
        <w:tab w:val="clear" w:pos="1440"/>
      </w:tabs>
      <w:spacing w:lineRule="auto" w:line="480" w:before="0" w:after="0"/>
      <w:outlineLvl w:val="2"/>
    </w:pPr>
    <w:rPr/>
  </w:style>
  <w:style w:type="paragraph" w:styleId="OutlineL4">
    <w:name w:val="Outline_L4"/>
    <w:basedOn w:val="OutlineL3"/>
    <w:next w:val="NumContinue"/>
    <w:qFormat/>
    <w:pPr>
      <w:numPr>
        <w:ilvl w:val="0"/>
        <w:numId w:val="14"/>
      </w:numPr>
      <w:spacing w:lineRule="auto" w:line="240" w:before="0" w:after="240"/>
      <w:outlineLvl w:val="3"/>
    </w:pPr>
    <w:rPr/>
  </w:style>
  <w:style w:type="paragraph" w:styleId="OutlineL5">
    <w:name w:val="Outline_L5"/>
    <w:basedOn w:val="OutlineL4"/>
    <w:next w:val="NumContinue"/>
    <w:qFormat/>
    <w:pPr>
      <w:numPr>
        <w:ilvl w:val="0"/>
        <w:numId w:val="14"/>
      </w:numPr>
      <w:outlineLvl w:val="4"/>
    </w:pPr>
    <w:rPr/>
  </w:style>
  <w:style w:type="paragraph" w:styleId="CommentText">
    <w:name w:val="Comment Text"/>
    <w:basedOn w:val="Normal"/>
    <w:qFormat/>
    <w:pPr/>
    <w:rPr>
      <w:sz w:val="20"/>
    </w:rPr>
  </w:style>
  <w:style w:type="paragraph" w:styleId="OutlineL6">
    <w:name w:val="Outline_L6"/>
    <w:basedOn w:val="OutlineL5"/>
    <w:next w:val="NumContinue"/>
    <w:qFormat/>
    <w:pPr>
      <w:numPr>
        <w:ilvl w:val="0"/>
        <w:numId w:val="14"/>
      </w:numPr>
      <w:jc w:val="both"/>
      <w:outlineLvl w:val="5"/>
    </w:pPr>
    <w:rPr/>
  </w:style>
  <w:style w:type="paragraph" w:styleId="OutlineL7">
    <w:name w:val="Outline_L7"/>
    <w:basedOn w:val="OutlineL6"/>
    <w:next w:val="NumContinue"/>
    <w:qFormat/>
    <w:pPr>
      <w:numPr>
        <w:ilvl w:val="0"/>
        <w:numId w:val="14"/>
      </w:numPr>
      <w:tabs>
        <w:tab w:val="left" w:pos="5040" w:leader="none"/>
      </w:tabs>
      <w:outlineLvl w:val="6"/>
    </w:pPr>
    <w:rPr/>
  </w:style>
  <w:style w:type="paragraph" w:styleId="OutlineL8">
    <w:name w:val="Outline_L8"/>
    <w:basedOn w:val="OutlineL7"/>
    <w:next w:val="NumContinue"/>
    <w:qFormat/>
    <w:pPr>
      <w:numPr>
        <w:ilvl w:val="0"/>
        <w:numId w:val="14"/>
      </w:numPr>
      <w:tabs>
        <w:tab w:val="clear" w:pos="5040"/>
      </w:tabs>
      <w:outlineLvl w:val="7"/>
    </w:pPr>
    <w:rPr/>
  </w:style>
  <w:style w:type="paragraph" w:styleId="OutlineL9">
    <w:name w:val="Outline_L9"/>
    <w:basedOn w:val="OutlineL8"/>
    <w:next w:val="NumContinue"/>
    <w:qFormat/>
    <w:pPr>
      <w:numPr>
        <w:ilvl w:val="0"/>
        <w:numId w:val="14"/>
      </w:numPr>
      <w:tabs>
        <w:tab w:val="left" w:pos="6480" w:leader="none"/>
      </w:tabs>
      <w:outlineLvl w:val="8"/>
    </w:pPr>
    <w:rPr/>
  </w:style>
  <w:style w:type="paragraph" w:styleId="TabbedL1">
    <w:name w:val="Tabbed_L1"/>
    <w:basedOn w:val="Normal"/>
    <w:next w:val="NumContinue"/>
    <w:qFormat/>
    <w:pPr>
      <w:numPr>
        <w:ilvl w:val="0"/>
        <w:numId w:val="15"/>
      </w:numPr>
      <w:tabs>
        <w:tab w:val="clear" w:pos="720"/>
        <w:tab w:val="left" w:pos="1440" w:leader="none"/>
      </w:tabs>
      <w:spacing w:before="0" w:after="240"/>
      <w:outlineLvl w:val="0"/>
    </w:pPr>
    <w:rPr/>
  </w:style>
  <w:style w:type="paragraph" w:styleId="TabbedL2">
    <w:name w:val="Tabbed_L2"/>
    <w:basedOn w:val="TabbedL1"/>
    <w:next w:val="NumContinue"/>
    <w:qFormat/>
    <w:pPr>
      <w:numPr>
        <w:ilvl w:val="0"/>
        <w:numId w:val="15"/>
      </w:numPr>
      <w:tabs>
        <w:tab w:val="clear" w:pos="1440"/>
        <w:tab w:val="left" w:pos="360" w:leader="none"/>
      </w:tabs>
      <w:spacing w:lineRule="auto" w:line="480" w:before="0" w:after="0"/>
      <w:outlineLvl w:val="1"/>
    </w:pPr>
    <w:rPr/>
  </w:style>
  <w:style w:type="paragraph" w:styleId="TabbedL3">
    <w:name w:val="Tabbed_L3"/>
    <w:basedOn w:val="TabbedL2"/>
    <w:next w:val="NumContinue"/>
    <w:qFormat/>
    <w:pPr>
      <w:numPr>
        <w:ilvl w:val="0"/>
        <w:numId w:val="15"/>
      </w:numPr>
      <w:outlineLvl w:val="2"/>
    </w:pPr>
    <w:rPr/>
  </w:style>
  <w:style w:type="paragraph" w:styleId="TabbedL4">
    <w:name w:val="Tabbed_L4"/>
    <w:basedOn w:val="TabbedL3"/>
    <w:next w:val="NumContinue"/>
    <w:qFormat/>
    <w:pPr>
      <w:numPr>
        <w:ilvl w:val="0"/>
        <w:numId w:val="15"/>
      </w:numPr>
      <w:tabs>
        <w:tab w:val="left" w:pos="360" w:leader="none"/>
        <w:tab w:val="left" w:pos="3600" w:leader="none"/>
      </w:tabs>
      <w:outlineLvl w:val="3"/>
    </w:pPr>
    <w:rPr/>
  </w:style>
  <w:style w:type="paragraph" w:styleId="TabbedL5">
    <w:name w:val="Tabbed_L5"/>
    <w:basedOn w:val="TabbedL4"/>
    <w:next w:val="NumContinue"/>
    <w:qFormat/>
    <w:pPr>
      <w:numPr>
        <w:ilvl w:val="0"/>
        <w:numId w:val="15"/>
      </w:numPr>
      <w:tabs>
        <w:tab w:val="clear" w:pos="3600"/>
        <w:tab w:val="left" w:pos="360" w:leader="none"/>
        <w:tab w:val="left" w:pos="4320" w:leader="none"/>
      </w:tabs>
      <w:outlineLvl w:val="4"/>
    </w:pPr>
    <w:rPr/>
  </w:style>
  <w:style w:type="paragraph" w:styleId="TabbedL6">
    <w:name w:val="Tabbed_L6"/>
    <w:basedOn w:val="TabbedL5"/>
    <w:next w:val="NumContinue"/>
    <w:qFormat/>
    <w:pPr>
      <w:numPr>
        <w:ilvl w:val="0"/>
        <w:numId w:val="15"/>
      </w:numPr>
      <w:tabs>
        <w:tab w:val="clear" w:pos="4320"/>
        <w:tab w:val="left" w:pos="360" w:leader="none"/>
      </w:tabs>
      <w:outlineLvl w:val="5"/>
    </w:pPr>
    <w:rPr/>
  </w:style>
  <w:style w:type="paragraph" w:styleId="TabbedL7">
    <w:name w:val="Tabbed_L7"/>
    <w:basedOn w:val="TabbedL6"/>
    <w:next w:val="NumContinue"/>
    <w:qFormat/>
    <w:pPr>
      <w:numPr>
        <w:ilvl w:val="0"/>
        <w:numId w:val="15"/>
      </w:numPr>
      <w:tabs>
        <w:tab w:val="left" w:pos="360" w:leader="none"/>
        <w:tab w:val="left" w:pos="5760" w:leader="none"/>
      </w:tabs>
      <w:outlineLvl w:val="6"/>
    </w:pPr>
    <w:rPr/>
  </w:style>
  <w:style w:type="paragraph" w:styleId="TabbedL8">
    <w:name w:val="Tabbed_L8"/>
    <w:basedOn w:val="TabbedL7"/>
    <w:next w:val="NumContinue"/>
    <w:qFormat/>
    <w:pPr>
      <w:numPr>
        <w:ilvl w:val="0"/>
        <w:numId w:val="15"/>
      </w:numPr>
      <w:tabs>
        <w:tab w:val="clear" w:pos="5760"/>
        <w:tab w:val="left" w:pos="360" w:leader="none"/>
        <w:tab w:val="left" w:pos="6480" w:leader="none"/>
      </w:tabs>
      <w:outlineLvl w:val="7"/>
    </w:pPr>
    <w:rPr/>
  </w:style>
  <w:style w:type="paragraph" w:styleId="TabbedL9">
    <w:name w:val="Tabbed_L9"/>
    <w:basedOn w:val="TabbedL8"/>
    <w:next w:val="NumContinue"/>
    <w:qFormat/>
    <w:pPr>
      <w:numPr>
        <w:ilvl w:val="0"/>
        <w:numId w:val="15"/>
      </w:numPr>
      <w:tabs>
        <w:tab w:val="clear" w:pos="6480"/>
        <w:tab w:val="left" w:pos="360" w:leader="none"/>
      </w:tabs>
      <w:outlineLvl w:val="8"/>
    </w:pPr>
    <w:rPr/>
  </w:style>
  <w:style w:type="paragraph" w:styleId="StandardL1">
    <w:name w:val="Standard_L1"/>
    <w:basedOn w:val="Normal"/>
    <w:qFormat/>
    <w:pPr>
      <w:numPr>
        <w:ilvl w:val="0"/>
        <w:numId w:val="16"/>
      </w:numPr>
      <w:tabs>
        <w:tab w:val="clear" w:pos="720"/>
        <w:tab w:val="left" w:pos="2160" w:leader="none"/>
      </w:tabs>
      <w:spacing w:lineRule="auto" w:line="480"/>
      <w:outlineLvl w:val="0"/>
    </w:pPr>
    <w:rPr/>
  </w:style>
  <w:style w:type="paragraph" w:styleId="StandardL2">
    <w:name w:val="Standard_L2"/>
    <w:basedOn w:val="StandardL1"/>
    <w:qFormat/>
    <w:pPr>
      <w:numPr>
        <w:ilvl w:val="0"/>
        <w:numId w:val="16"/>
      </w:numPr>
      <w:tabs>
        <w:tab w:val="clear" w:pos="2160"/>
        <w:tab w:val="left" w:pos="360" w:leader="none"/>
      </w:tabs>
      <w:spacing w:lineRule="auto" w:line="240"/>
      <w:outlineLvl w:val="1"/>
    </w:pPr>
    <w:rPr/>
  </w:style>
  <w:style w:type="paragraph" w:styleId="StandardL3">
    <w:name w:val="Standard_L3"/>
    <w:basedOn w:val="StandardL2"/>
    <w:qFormat/>
    <w:pPr>
      <w:numPr>
        <w:ilvl w:val="0"/>
        <w:numId w:val="16"/>
      </w:numPr>
      <w:outlineLvl w:val="2"/>
    </w:pPr>
    <w:rPr/>
  </w:style>
  <w:style w:type="paragraph" w:styleId="StandardL4">
    <w:name w:val="Standard_L4"/>
    <w:basedOn w:val="StandardL3"/>
    <w:next w:val="NumContinue"/>
    <w:qFormat/>
    <w:pPr>
      <w:numPr>
        <w:ilvl w:val="0"/>
        <w:numId w:val="16"/>
      </w:numPr>
      <w:tabs>
        <w:tab w:val="left" w:pos="360" w:leader="none"/>
        <w:tab w:val="left" w:pos="2880" w:leader="none"/>
      </w:tabs>
      <w:outlineLvl w:val="3"/>
    </w:pPr>
    <w:rPr/>
  </w:style>
  <w:style w:type="paragraph" w:styleId="StandardL5">
    <w:name w:val="Standard_L5"/>
    <w:basedOn w:val="StandardL4"/>
    <w:next w:val="NumContinue"/>
    <w:qFormat/>
    <w:pPr>
      <w:numPr>
        <w:ilvl w:val="0"/>
        <w:numId w:val="16"/>
      </w:numPr>
      <w:tabs>
        <w:tab w:val="clear" w:pos="2880"/>
        <w:tab w:val="left" w:pos="360" w:leader="none"/>
      </w:tabs>
      <w:outlineLvl w:val="4"/>
    </w:pPr>
    <w:rPr/>
  </w:style>
  <w:style w:type="paragraph" w:styleId="StandardL6">
    <w:name w:val="Standard_L6"/>
    <w:basedOn w:val="StandardL5"/>
    <w:next w:val="NumContinue"/>
    <w:qFormat/>
    <w:pPr>
      <w:numPr>
        <w:ilvl w:val="0"/>
        <w:numId w:val="16"/>
      </w:numPr>
      <w:outlineLvl w:val="5"/>
    </w:pPr>
    <w:rPr/>
  </w:style>
  <w:style w:type="paragraph" w:styleId="StandardL7">
    <w:name w:val="Standard_L7"/>
    <w:basedOn w:val="StandardL6"/>
    <w:next w:val="NumContinue"/>
    <w:qFormat/>
    <w:pPr>
      <w:numPr>
        <w:ilvl w:val="0"/>
        <w:numId w:val="16"/>
      </w:numPr>
      <w:tabs>
        <w:tab w:val="left" w:pos="360" w:leader="none"/>
        <w:tab w:val="left" w:pos="5040" w:leader="none"/>
      </w:tabs>
      <w:outlineLvl w:val="6"/>
    </w:pPr>
    <w:rPr/>
  </w:style>
  <w:style w:type="paragraph" w:styleId="StandardL8">
    <w:name w:val="Standard_L8"/>
    <w:basedOn w:val="StandardL7"/>
    <w:next w:val="NumContinue"/>
    <w:qFormat/>
    <w:pPr>
      <w:numPr>
        <w:ilvl w:val="0"/>
        <w:numId w:val="16"/>
      </w:numPr>
      <w:tabs>
        <w:tab w:val="clear" w:pos="5040"/>
        <w:tab w:val="left" w:pos="360" w:leader="none"/>
        <w:tab w:val="left" w:pos="5760" w:leader="none"/>
      </w:tabs>
      <w:outlineLvl w:val="7"/>
    </w:pPr>
    <w:rPr/>
  </w:style>
  <w:style w:type="paragraph" w:styleId="StandardL9">
    <w:name w:val="Standard_L9"/>
    <w:basedOn w:val="StandardL8"/>
    <w:next w:val="NumContinue"/>
    <w:qFormat/>
    <w:pPr>
      <w:numPr>
        <w:ilvl w:val="0"/>
        <w:numId w:val="16"/>
      </w:numPr>
      <w:tabs>
        <w:tab w:val="clear" w:pos="5760"/>
        <w:tab w:val="left" w:pos="360" w:leader="none"/>
      </w:tabs>
      <w:outlineLvl w:val="8"/>
    </w:pPr>
    <w:rPr/>
  </w:style>
  <w:style w:type="paragraph" w:styleId="Index1">
    <w:name w:val="index 1"/>
    <w:basedOn w:val="Normal"/>
    <w:next w:val="Normal"/>
    <w:pPr>
      <w:ind w:hanging="240" w:start="24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ysb.uscourts.gov/"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2001-12-14T12:59:00Z</dcterms:created>
  <dc:creator>Houston</dc:creator>
  <dc:description/>
  <cp:keywords>DocsOpen Name: #1106283 v2 - Enron - Bidding Procedures Motion</cp:keywords>
  <dc:language>en-CA</dc:language>
  <cp:lastModifiedBy>A satisfied Microsoft Office User</cp:lastModifiedBy>
  <cp:lastPrinted>2001-12-14T15:07:00Z</cp:lastPrinted>
  <dcterms:modified xsi:type="dcterms:W3CDTF">2001-12-14T18:01:00Z</dcterms:modified>
  <cp:revision>15</cp:revision>
  <dc:subject>DocsOpen Loc:G:\DATA\NY2\MARKHAM\MOT\NPM302!.DOC</dc:subject>
  <dc:title>Local: C:\WINDOWS\DESKTOP\NY2-1106283-Enron - Bidding Procedures Motion.DOC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NY2:\1106283\02\NPM302!.DOC\43889.0003</vt:lpwstr>
  </property>
</Properties>
</file>