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start="4320" w:end="0"/>
        <w:outlineLvl w:val="0"/>
        <w:rPr>
          <w:rFonts w:ascii="Zurich BT;Tahoma" w:hAnsi="Zurich BT;Tahoma" w:cs="Zurich BT;Tahoma"/>
          <w:spacing w:val="20"/>
        </w:rPr>
      </w:pPr>
      <w:r>
        <w:rPr>
          <w:rFonts w:cs="Zurich BT;Tahoma" w:ascii="Zurich BT;Tahoma" w:hAnsi="Zurich BT;Tahoma"/>
          <w:spacing w:val="20"/>
        </w:rPr>
      </w:r>
    </w:p>
    <w:p>
      <w:pPr>
        <w:pStyle w:val="Normal"/>
        <w:numPr>
          <w:ilvl w:val="0"/>
          <w:numId w:val="0"/>
        </w:numPr>
        <w:ind w:start="4320" w:end="0"/>
        <w:outlineLvl w:val="0"/>
        <w:rPr>
          <w:rFonts w:ascii="Zurich BT;Tahoma" w:hAnsi="Zurich BT;Tahoma" w:cs="Zurich BT;Tahoma"/>
          <w:spacing w:val="20"/>
        </w:rPr>
      </w:pPr>
      <w:r>
        <w:rPr>
          <w:rFonts w:cs="Zurich BT;Tahoma" w:ascii="Zurich BT;Tahoma" w:hAnsi="Zurich BT;Tahoma"/>
          <w:spacing w:val="20"/>
        </w:rPr>
        <w:object w:dxaOrig="10507" w:dyaOrig="314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88pt;margin-top:0pt;width:215.75pt;height:51.15pt;mso-wrap-distance-left:9.05pt;mso-wrap-distance-right:9.05pt;mso-position-horizontal-relative:text;mso-position-vertical-relative:text" filled="f" o:ole="">
            <v:imagedata r:id="rId3" o:title=""/>
            <w10:wrap type="topAndBottom"/>
          </v:shape>
          <o:OLEObject Type="Embed" ProgID="" ShapeID="ole_rId2" DrawAspect="Content" ObjectID="_776917871" r:id="rId2"/>
        </w:object>
      </w:r>
    </w:p>
    <w:p>
      <w:pPr>
        <w:pStyle w:val="Normal"/>
        <w:numPr>
          <w:ilvl w:val="0"/>
          <w:numId w:val="0"/>
        </w:numPr>
        <w:outlineLvl w:val="0"/>
        <w:rPr>
          <w:rFonts w:ascii="Arial" w:hAnsi="Arial" w:cs="Arial"/>
          <w:b/>
          <w:sz w:val="24"/>
        </w:rPr>
      </w:pPr>
      <w:r>
        <w:rPr>
          <w:rFonts w:cs="Arial" w:ascii="Arial" w:hAnsi="Arial"/>
          <w:b/>
          <w:sz w:val="24"/>
        </w:rPr>
        <w:t>FOR IMMEDIATE RELEASE</w:t>
      </w:r>
    </w:p>
    <w:p>
      <w:pPr>
        <w:pStyle w:val="Heading1"/>
        <w:ind w:hanging="0" w:start="0"/>
        <w:rPr/>
      </w:pPr>
      <w:r>
        <w:rPr/>
        <w:t>Contact:  Mark Stultz</w:t>
      </w:r>
    </w:p>
    <w:p>
      <w:pPr>
        <w:pStyle w:val="Heading1"/>
        <w:ind w:hanging="0" w:start="0"/>
        <w:rPr/>
      </w:pPr>
      <w:r>
        <w:rPr/>
        <w:t xml:space="preserve">Phone:    202-628-8200 </w:t>
      </w:r>
    </w:p>
    <w:p>
      <w:pPr>
        <w:pStyle w:val="Heading1"/>
        <w:ind w:hanging="0" w:start="0"/>
        <w:rPr/>
      </w:pPr>
      <w:r>
        <w:rPr/>
        <w:tab/>
      </w:r>
    </w:p>
    <w:p>
      <w:pPr>
        <w:pStyle w:val="Normal"/>
        <w:rPr/>
      </w:pPr>
      <w:r>
        <w:rPr/>
      </w:r>
    </w:p>
    <w:p>
      <w:pPr>
        <w:pStyle w:val="BodyTextIndent"/>
        <w:ind w:hanging="0" w:start="0" w:end="0"/>
        <w:rPr/>
      </w:pPr>
      <w:r>
        <w:rPr/>
        <w:t>EPSA Urges FERC to Put the Brakes on</w:t>
      </w:r>
    </w:p>
    <w:p>
      <w:pPr>
        <w:pStyle w:val="BodyTextIndent"/>
        <w:ind w:hanging="0" w:start="0" w:end="0"/>
        <w:rPr/>
      </w:pPr>
      <w:r>
        <w:rPr/>
        <w:t>Proposal That Could Cripple Power Markets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Washington, D.C., Nov. 27, 2001 –- In its haste to develop an approach to police generator market power, the Federal Energy Regulatory Commission (FERC) is likely doing more harm than good for competitive power markets, according to a filing today by the Electric Power Supply Association (EPSA).</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t>
      </w:r>
      <w:r>
        <w:rPr>
          <w:rFonts w:cs="Arial" w:ascii="Arial" w:hAnsi="Arial"/>
          <w:sz w:val="24"/>
        </w:rPr>
        <w:t>We continue to applaud the commission’s long-term goal of achieving a vibrant wholesale marketplace that, by its very existence, limits opportunities for market power abuse,” said EPSA President Lynne H. Church.  “However, on this issue, the commission is now rushing some Band-Aid steps that appear to be seriously flawed and counterproductive to the cause.”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As an initial step, EPSA requested that the commission give industry stakeholders additional time to analyze and provide details on all of the potential and unrecognized ramifications of a Nov. 20 commission order that establishes a widespread market power investigation and review of existing market-based rate tariffs.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t>
      </w:r>
      <w:r>
        <w:rPr>
          <w:rFonts w:cs="Arial" w:ascii="Arial" w:hAnsi="Arial"/>
          <w:sz w:val="24"/>
        </w:rPr>
        <w:t>Absent evidence and taken at face value, FERC’s announcement of a broad, ill-defined search for generator market power would seem to strike at the very heart of the fundamentals driving a competitive marketplace,” Church said.</w:t>
      </w:r>
    </w:p>
    <w:p>
      <w:pPr>
        <w:pStyle w:val="Normal"/>
        <w:rPr>
          <w:rFonts w:ascii="Arial" w:hAnsi="Arial" w:cs="Arial"/>
          <w:sz w:val="24"/>
        </w:rPr>
      </w:pPr>
      <w:r>
        <w:rPr>
          <w:rFonts w:cs="Arial" w:ascii="Arial" w:hAnsi="Arial"/>
          <w:sz w:val="24"/>
        </w:rPr>
      </w:r>
    </w:p>
    <w:p>
      <w:pPr>
        <w:pStyle w:val="BodyText2"/>
        <w:rPr/>
      </w:pPr>
      <w:r>
        <w:rPr/>
        <w:t>“</w:t>
      </w:r>
      <w:r>
        <w:rPr/>
        <w:t>In fact, the commission’s action appears so sweeping and potentially full of adverse side-effects that it challenges the very reason suppliers—generators and marketers alike—forego the safety of cost-plus rates in order to provide customers with all the benefits of a competitive marketplace,” she said. “The irony is that this appears to be partly FERC’s response to a circumstance that has never been proven—the alleged withholding of generation in order to manipulate market price.”</w:t>
      </w:r>
    </w:p>
    <w:p>
      <w:pPr>
        <w:pStyle w:val="BodyText2"/>
        <w:rPr/>
      </w:pPr>
      <w:r>
        <w:rPr/>
      </w:r>
    </w:p>
    <w:p>
      <w:pPr>
        <w:pStyle w:val="Normal"/>
        <w:rPr>
          <w:rFonts w:ascii="Arial" w:hAnsi="Arial" w:cs="Arial"/>
          <w:sz w:val="24"/>
        </w:rPr>
      </w:pPr>
      <w:r>
        <w:rPr>
          <w:rFonts w:cs="Arial" w:ascii="Arial" w:hAnsi="Arial"/>
          <w:sz w:val="24"/>
        </w:rPr>
        <w:t>In addition, in its request for an extension of the proceedings, the association said “the possibility of retroactive refunds based on the application of vague standards transforms the investment climate and puts existing and future investments at risk.”</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t>
      </w:r>
      <w:r>
        <w:rPr>
          <w:rFonts w:cs="Arial" w:ascii="Arial" w:hAnsi="Arial"/>
          <w:sz w:val="24"/>
        </w:rPr>
        <w:t>Conditioning market-based rate authority could reduce the number of competitors and new entrants into the market, which runs counter to the commission’s goals,”</w:t>
      </w:r>
    </w:p>
    <w:p>
      <w:pPr>
        <w:pStyle w:val="BodyText2"/>
        <w:rPr/>
      </w:pPr>
      <w:r>
        <w:rPr/>
        <w:t>EPSA said. “For now, even a cursory review of the order exposes undesirable and unintended effects – consequences that do nothing to support market fundamentals such as liquidity, price transparency, and legal and regulatory stability.”</w:t>
      </w:r>
    </w:p>
    <w:p>
      <w:pPr>
        <w:pStyle w:val="BodyText2"/>
        <w:rPr/>
      </w:pPr>
      <w:r>
        <w:rPr/>
      </w:r>
    </w:p>
    <w:p>
      <w:pPr>
        <w:pStyle w:val="Normal"/>
        <w:rPr>
          <w:rFonts w:ascii="Arial" w:hAnsi="Arial" w:cs="Arial"/>
          <w:sz w:val="24"/>
        </w:rPr>
      </w:pPr>
      <w:r>
        <w:rPr>
          <w:rFonts w:cs="Arial" w:ascii="Arial" w:hAnsi="Arial"/>
          <w:sz w:val="24"/>
        </w:rPr>
        <w:t>“</w:t>
      </w:r>
      <w:r>
        <w:rPr>
          <w:rFonts w:cs="Arial" w:ascii="Arial" w:hAnsi="Arial"/>
          <w:sz w:val="24"/>
        </w:rPr>
        <w:t>Rather than enhancing these conditions, FERC is undercutting the basis by which new plants are developed and financed and the power sold,” Church said.  “All of this is based on an economic theory that ignores the financial realities of the marketplace.”</w:t>
      </w:r>
    </w:p>
    <w:p>
      <w:pPr>
        <w:pStyle w:val="Normal"/>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-EPSA-</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b/>
          <w:sz w:val="24"/>
        </w:rPr>
        <w:t>Editor’s Note:</w:t>
      </w:r>
      <w:r>
        <w:rPr>
          <w:rFonts w:cs="Arial" w:ascii="Arial" w:hAnsi="Arial"/>
          <w:sz w:val="24"/>
        </w:rPr>
        <w:t xml:space="preserve"> Copies of the complete extension request will soon be available at </w:t>
      </w:r>
      <w:hyperlink r:id="rId4">
        <w:r>
          <w:rPr>
            <w:rStyle w:val="Hyperlink"/>
            <w:rFonts w:cs="Arial" w:ascii="Arial" w:hAnsi="Arial"/>
            <w:sz w:val="24"/>
          </w:rPr>
          <w:t>www.epsa.org</w:t>
        </w:r>
      </w:hyperlink>
      <w:r>
        <w:rPr>
          <w:rFonts w:cs="Arial" w:ascii="Arial" w:hAnsi="Arial"/>
          <w:sz w:val="24"/>
        </w:rPr>
        <w:t xml:space="preserve">, or contact Francine Greenberg at </w:t>
      </w:r>
      <w:hyperlink r:id="rId5">
        <w:r>
          <w:rPr>
            <w:rStyle w:val="Hyperlink"/>
            <w:rFonts w:cs="Arial" w:ascii="Arial" w:hAnsi="Arial"/>
            <w:sz w:val="24"/>
          </w:rPr>
          <w:t>fgreenberg@epsa.com</w:t>
        </w:r>
      </w:hyperlink>
      <w:r>
        <w:rPr>
          <w:rFonts w:cs="Arial" w:ascii="Arial" w:hAnsi="Arial"/>
          <w:sz w:val="24"/>
        </w:rPr>
        <w:t>, or call (202) 628-8200.</w:t>
      </w:r>
    </w:p>
    <w:p>
      <w:pPr>
        <w:pStyle w:val="Normal"/>
        <w:rPr>
          <w:rFonts w:ascii="Arial" w:hAnsi="Arial" w:cs="Arial"/>
          <w:sz w:val="24"/>
        </w:rPr>
      </w:pPr>
      <w:r>
        <w:rPr>
          <w:rFonts w:cs="Arial" w:ascii="Arial" w:hAnsi="Arial"/>
          <w:sz w:val="24"/>
        </w:rPr>
      </w:r>
    </w:p>
    <w:p>
      <w:pPr>
        <w:pStyle w:val="Style13"/>
        <w:rPr>
          <w:rFonts w:ascii="Arial" w:hAnsi="Arial" w:cs="Arial"/>
          <w:sz w:val="24"/>
        </w:rPr>
      </w:pPr>
      <w:r>
        <w:rPr>
          <w:rFonts w:cs="Arial"/>
          <w:sz w:val="24"/>
        </w:rPr>
      </w:r>
    </w:p>
    <w:sectPr>
      <w:footerReference w:type="default" r:id="rId6"/>
      <w:footerReference w:type="first" r:id="rId7"/>
      <w:type w:val="nextPage"/>
      <w:pgSz w:w="12240" w:h="15840"/>
      <w:pgMar w:left="1440" w:right="1440" w:gutter="0" w:header="0" w:top="72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w:altName w:val="Times New Roman"/>
    <w:charset w:val="00" w:characterSet="windows-1252"/>
    <w:family w:val="roman"/>
    <w:pitch w:val="variable"/>
  </w:font>
  <w:font w:name="Zurich BT">
    <w:altName w:val="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rPr>
    </w:pPr>
    <w:r>
      <w:rPr>
        <w:rFonts w:cs="Arial" w:ascii="Arial" w:hAnsi="Arial"/>
      </w:rPr>
      <w:t>EPSA is the national trade association representing competitive power suppliers, including independent power producers, merchant generators and power marketers. These suppliers, who account for more than a third of the nation’s installed generating capacity, provide reliable and competitively priced electricity from environmentally responsible facilities serving global power markets. EPSA seeks to bring the benefits of competition to all power customers.</w:t>
    </w:r>
  </w:p>
  <w:p>
    <w:pPr>
      <w:pStyle w:val="Normal"/>
      <w:rPr>
        <w:rFonts w:ascii="Arial" w:hAnsi="Arial" w:cs="Arial"/>
      </w:rPr>
    </w:pPr>
    <w:r>
      <w:rPr>
        <w:rFonts w:cs="Arial" w:ascii="Arial" w:hAnsi="Arial"/>
      </w:rPr>
    </w:r>
  </w:p>
  <w:p>
    <w:pPr>
      <w:pStyle w:val="Normal"/>
      <w:jc w:val="center"/>
      <w:rPr/>
    </w:pPr>
    <w:r>
      <w:rPr>
        <w:rFonts w:cs="Zurich BT;Tahoma" w:ascii="Zurich BT;Tahoma" w:hAnsi="Zurich BT;Tahoma"/>
      </w:rPr>
      <w:t>1401 New York Avenue, N.W., 11</w:t>
    </w:r>
    <w:r>
      <w:rPr>
        <w:rFonts w:cs="Zurich BT;Tahoma" w:ascii="Zurich BT;Tahoma" w:hAnsi="Zurich BT;Tahoma"/>
        <w:vertAlign w:val="superscript"/>
      </w:rPr>
      <w:t>th</w:t>
    </w:r>
    <w:r>
      <w:rPr>
        <w:rFonts w:cs="Zurich BT;Tahoma" w:ascii="Zurich BT;Tahoma" w:hAnsi="Zurich BT;Tahoma"/>
      </w:rPr>
      <w:t xml:space="preserve"> Floor, Washington, DC 20005</w:t>
    </w:r>
  </w:p>
  <w:p>
    <w:pPr>
      <w:pStyle w:val="Normal"/>
      <w:jc w:val="center"/>
      <w:rPr/>
    </w:pPr>
    <w:r>
      <w:rPr>
        <w:rFonts w:cs="Zurich BT;Tahoma" w:ascii="Zurich BT;Tahoma" w:hAnsi="Zurich BT;Tahoma"/>
      </w:rPr>
      <w:t xml:space="preserve">telephone: (202) 628-8200 </w:t>
    </w:r>
    <w:r>
      <w:rPr>
        <w:rFonts w:eastAsia="Wingdings" w:cs="Wingdings" w:ascii="Wingdings" w:hAnsi="Wingdings"/>
      </w:rPr>
      <w:sym w:font="Wingdings" w:char="f09f"/>
    </w:r>
    <w:r>
      <w:rPr>
        <w:rFonts w:cs="Zurich BT;Tahoma" w:ascii="Zurich BT;Tahoma" w:hAnsi="Zurich BT;Tahoma"/>
      </w:rPr>
      <w:t xml:space="preserve"> facsimile: (202) 628-8260 </w:t>
    </w:r>
  </w:p>
  <w:p>
    <w:pPr>
      <w:pStyle w:val="Normal"/>
      <w:jc w:val="center"/>
      <w:rPr>
        <w:rFonts w:ascii="Zurich BT;Tahoma" w:hAnsi="Zurich BT;Tahoma" w:cs="Zurich BT;Tahoma"/>
        <w:b/>
        <w:i/>
        <w:i/>
        <w:sz w:val="24"/>
      </w:rPr>
    </w:pPr>
    <w:r>
      <w:rPr>
        <w:rFonts w:cs="Zurich BT;Tahoma" w:ascii="Zurich BT;Tahoma" w:hAnsi="Zurich BT;Tahoma"/>
        <w:b/>
        <w:i/>
        <w:sz w:val="24"/>
      </w:rPr>
      <w:t>www.epsa.org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4"/>
      </w:rPr>
    </w:pPr>
    <w:r>
      <w:rPr>
        <w:rFonts w:cs="Arial" w:ascii="Arial" w:hAnsi="Arial"/>
        <w:sz w:val="24"/>
      </w:rPr>
      <w:t>-more-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BodyText2">
    <w:name w:val="Body Text 2"/>
    <w:basedOn w:val="Normal"/>
    <w:qFormat/>
    <w:pPr/>
    <w:rPr>
      <w:rFonts w:ascii="Arial" w:hAnsi="Arial" w:cs="Arial"/>
      <w:sz w:val="24"/>
    </w:rPr>
  </w:style>
  <w:style w:type="paragraph" w:styleId="BodyTextIndent">
    <w:name w:val="Body Text Indent"/>
    <w:basedOn w:val="Normal"/>
    <w:pPr>
      <w:ind w:firstLine="720" w:start="2160" w:end="0"/>
      <w:jc w:val="center"/>
      <w:outlineLvl w:val="0"/>
    </w:pPr>
    <w:rPr>
      <w:rFonts w:ascii="Arial" w:hAnsi="Arial" w:cs="Arial"/>
      <w:b/>
      <w:sz w:val="28"/>
    </w:rPr>
  </w:style>
  <w:style w:type="paragraph" w:styleId="BodyTextIndent3">
    <w:name w:val="Body Text Indent 3"/>
    <w:basedOn w:val="Normal"/>
    <w:qFormat/>
    <w:pPr>
      <w:ind w:firstLine="720" w:start="0" w:end="0"/>
    </w:pPr>
    <w:rPr>
      <w:rFonts w:ascii="Times" w:hAnsi="Times" w:eastAsia="Times" w:cs="Times"/>
      <w:sz w:val="24"/>
    </w:rPr>
  </w:style>
  <w:style w:type="paragraph" w:styleId="BodyText3">
    <w:name w:val="Body Text 3"/>
    <w:basedOn w:val="Normal"/>
    <w:qFormat/>
    <w:pPr/>
    <w:rPr>
      <w:rFonts w:ascii="Times" w:hAnsi="Times" w:eastAsia="Times" w:cs="Times"/>
      <w:color w:val="000000"/>
      <w:sz w:val="24"/>
    </w:rPr>
  </w:style>
  <w:style w:type="paragraph" w:styleId="Style13">
    <w:name w:val="Style1"/>
    <w:basedOn w:val="Normal"/>
    <w:qFormat/>
    <w:pPr/>
    <w:rPr>
      <w:rFonts w:ascii="Arial" w:hAnsi="Arial"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epsa.org/" TargetMode="External"/><Relationship Id="rId5" Type="http://schemas.openxmlformats.org/officeDocument/2006/relationships/hyperlink" Target="mailto:fgreenberg@epsa.com"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2001-11-26T20:28:00Z</dcterms:created>
  <dc:creator>Janay Miller</dc:creator>
  <dc:description/>
  <dc:language>en-CA</dc:language>
  <cp:lastModifiedBy>epsa</cp:lastModifiedBy>
  <cp:lastPrinted>2001-11-27T13:10:00Z</cp:lastPrinted>
  <dcterms:modified xsi:type="dcterms:W3CDTF">2001-11-27T15:47:00Z</dcterms:modified>
  <cp:revision>14</cp:revision>
  <dc:subject/>
  <dc:title>________ </dc:title>
</cp:coreProperties>
</file>