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rPr>
          <w:color w:val="000000"/>
          <w:sz w:val="22"/>
          <w:szCs w:val="20"/>
        </w:rPr>
      </w:pPr>
      <w:r>
        <w:rPr>
          <w:color w:val="000000"/>
          <w:sz w:val="22"/>
          <w:szCs w:val="20"/>
        </w:rPr>
        <w:t xml:space="preserve">Definitions: </w:t>
      </w:r>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rPr>
          <w:color w:val="000000"/>
          <w:sz w:val="22"/>
          <w:szCs w:val="20"/>
        </w:rPr>
      </w:pPr>
      <w:r>
        <w:rPr>
          <w:color w:val="000000"/>
          <w:sz w:val="22"/>
          <w:szCs w:val="20"/>
        </w:rPr>
        <w:t>Expected Delivery Dates:  If we aren't going to define major components, then EPD should be when Unit (and all its components) are delivered to the site, such that the construction of the Unit and any associated Equipment can be installed in accordance with the Project Schedule (or something to that effect).</w:t>
      </w:r>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rPr>
          <w:color w:val="000000"/>
          <w:sz w:val="22"/>
          <w:szCs w:val="20"/>
        </w:rPr>
      </w:pPr>
      <w:r>
        <w:rPr>
          <w:color w:val="000000"/>
          <w:sz w:val="22"/>
          <w:szCs w:val="20"/>
        </w:rPr>
        <w:t>I am unclear by what we mean by "balance of plant".  Is this the BOP being supplied by Seller?</w:t>
      </w:r>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rPr>
          <w:color w:val="000000"/>
          <w:sz w:val="22"/>
          <w:szCs w:val="20"/>
        </w:rPr>
      </w:pPr>
      <w:r>
        <w:rPr>
          <w:color w:val="000000"/>
          <w:sz w:val="22"/>
          <w:szCs w:val="20"/>
        </w:rPr>
        <w:t xml:space="preserve">Final Project Schedule needs to include concept of being geared to  meet the Guaranteed Acceptance Date.  </w:t>
      </w:r>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rPr>
          <w:color w:val="000000"/>
          <w:sz w:val="22"/>
          <w:szCs w:val="20"/>
        </w:rPr>
      </w:pPr>
      <w:r>
        <w:rPr>
          <w:color w:val="000000"/>
          <w:sz w:val="22"/>
          <w:szCs w:val="20"/>
        </w:rPr>
        <w:t>Final Project Specifications should refer to 8.4.  The Final Specifications are not going to be "as built", since the equipment will not have been built byb the time the specs are due.</w:t>
      </w:r>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rPr>
          <w:color w:val="000000"/>
          <w:sz w:val="22"/>
          <w:szCs w:val="20"/>
        </w:rPr>
      </w:pPr>
      <w:r>
        <w:rPr>
          <w:color w:val="000000"/>
          <w:sz w:val="22"/>
          <w:szCs w:val="20"/>
        </w:rPr>
        <w:t xml:space="preserve">Are GAD and termination dates the same? For releases prior to 3/1/01, the GAD will be in accordance with an exhibit, reflecting acceptance dates beginning 20 months after release, with units delivered monthly, but termination coming at different, later times.  For releases after 3/1/01, the parties will agree to the dates during the process of negotiating a release.  </w:t>
      </w:r>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rPr>
          <w:color w:val="000000"/>
          <w:sz w:val="22"/>
          <w:szCs w:val="20"/>
        </w:rPr>
      </w:pPr>
      <w:r>
        <w:rPr>
          <w:color w:val="000000"/>
          <w:sz w:val="22"/>
          <w:szCs w:val="20"/>
        </w:rPr>
        <w:t>Guarantees: The defininitions and the verbage in Article 10 describing each of the guarantees need to be restored.  This is standard stuff, and makes things more clear, and it is an unnecessary bother to have to refer to the definitions to find the guaranteed levels.</w:t>
      </w:r>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rPr>
          <w:color w:val="000000"/>
          <w:sz w:val="22"/>
          <w:szCs w:val="20"/>
        </w:rPr>
      </w:pPr>
      <w:r>
        <w:rPr>
          <w:color w:val="000000"/>
          <w:sz w:val="22"/>
          <w:szCs w:val="20"/>
        </w:rPr>
        <w:t>Heat rate:  I personally don't know where this should be measured.</w:t>
      </w:r>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rPr>
          <w:color w:val="000000"/>
          <w:sz w:val="22"/>
          <w:szCs w:val="20"/>
        </w:rPr>
      </w:pPr>
      <w:r>
        <w:rPr>
          <w:color w:val="000000"/>
          <w:sz w:val="22"/>
          <w:szCs w:val="20"/>
        </w:rPr>
        <w:t>Punchlist applies to Equipment, not just Units.</w:t>
      </w:r>
    </w:p>
    <w:p>
      <w:pPr>
        <w:pStyle w:val="Normal"/>
        <w:autoSpaceDE w:val="false"/>
        <w:spacing w:lineRule="atLeast" w:line="240"/>
        <w:rPr>
          <w:color w:val="000000"/>
          <w:sz w:val="22"/>
          <w:szCs w:val="20"/>
        </w:rPr>
      </w:pPr>
      <w:r>
        <w:rPr>
          <w:color w:val="000000"/>
          <w:sz w:val="22"/>
          <w:szCs w:val="20"/>
        </w:rPr>
      </w:r>
    </w:p>
    <w:p>
      <w:pPr>
        <w:pStyle w:val="Normal"/>
        <w:autoSpaceDE w:val="false"/>
        <w:spacing w:lineRule="atLeast" w:line="240"/>
        <w:rPr>
          <w:color w:val="000000"/>
          <w:sz w:val="22"/>
          <w:szCs w:val="20"/>
        </w:rPr>
      </w:pPr>
      <w:r>
        <w:rPr>
          <w:color w:val="000000"/>
          <w:sz w:val="22"/>
          <w:szCs w:val="20"/>
        </w:rPr>
        <w:t xml:space="preserve">The Scope of Work is the body of activities, etc, to be performed as embodied in the exhibit.  I haven't seen it used to mean some type of signed statement. </w:t>
      </w:r>
    </w:p>
    <w:p>
      <w:pPr>
        <w:pStyle w:val="Normal"/>
        <w:autoSpaceDE w:val="false"/>
        <w:spacing w:lineRule="atLeast" w:line="240"/>
        <w:rPr>
          <w:color w:val="000000"/>
          <w:sz w:val="22"/>
          <w:szCs w:val="20"/>
        </w:rPr>
      </w:pPr>
      <w:r>
        <w:rPr>
          <w:color w:val="000000"/>
          <w:sz w:val="22"/>
          <w:szCs w:val="20"/>
        </w:rPr>
        <w:t xml:space="preserve"> </w:t>
      </w:r>
    </w:p>
    <w:p>
      <w:pPr>
        <w:pStyle w:val="Normal"/>
        <w:autoSpaceDE w:val="false"/>
        <w:spacing w:lineRule="atLeast" w:line="240"/>
        <w:rPr>
          <w:color w:val="000000"/>
          <w:sz w:val="22"/>
          <w:szCs w:val="20"/>
        </w:rPr>
      </w:pPr>
      <w:r>
        <w:rPr>
          <w:color w:val="000000"/>
          <w:sz w:val="22"/>
          <w:szCs w:val="20"/>
        </w:rPr>
        <w:t>Article 2.</w:t>
      </w:r>
    </w:p>
    <w:p>
      <w:pPr>
        <w:pStyle w:val="Normal"/>
        <w:autoSpaceDE w:val="false"/>
        <w:spacing w:lineRule="atLeast" w:line="240"/>
        <w:rPr>
          <w:color w:val="000000"/>
          <w:sz w:val="22"/>
          <w:szCs w:val="20"/>
        </w:rPr>
      </w:pPr>
      <w:r>
        <w:rPr>
          <w:color w:val="000000"/>
          <w:sz w:val="22"/>
          <w:szCs w:val="20"/>
        </w:rPr>
        <w:t>(d) probably should include "definitive" in favorable ruling concept.</w:t>
      </w:r>
    </w:p>
    <w:p>
      <w:pPr>
        <w:pStyle w:val="Normal"/>
        <w:autoSpaceDE w:val="false"/>
        <w:spacing w:lineRule="atLeast" w:line="240"/>
        <w:rPr>
          <w:color w:val="000000"/>
          <w:sz w:val="22"/>
          <w:szCs w:val="20"/>
        </w:rPr>
      </w:pPr>
      <w:r>
        <w:rPr>
          <w:color w:val="000000"/>
          <w:sz w:val="22"/>
          <w:szCs w:val="20"/>
        </w:rPr>
        <w:t>(e) could introduce concept of Purchaser's Scope of Work (vs Seller's, of course)</w:t>
      </w:r>
    </w:p>
    <w:p>
      <w:pPr>
        <w:pStyle w:val="Normal"/>
        <w:autoSpaceDE w:val="false"/>
        <w:spacing w:lineRule="atLeast" w:line="240"/>
        <w:rPr>
          <w:color w:val="000000"/>
          <w:sz w:val="22"/>
          <w:szCs w:val="20"/>
        </w:rPr>
      </w:pPr>
      <w:r>
        <w:rPr>
          <w:color w:val="000000"/>
          <w:sz w:val="22"/>
          <w:szCs w:val="20"/>
        </w:rPr>
        <w:t xml:space="preserve">2.2 (a)  delete 2nd sentence re permits - dealt with elsewhere.  </w:t>
      </w:r>
    </w:p>
    <w:p>
      <w:pPr>
        <w:pStyle w:val="Normal"/>
        <w:autoSpaceDE w:val="false"/>
        <w:spacing w:lineRule="atLeast" w:line="240"/>
        <w:rPr>
          <w:color w:val="000000"/>
          <w:sz w:val="22"/>
          <w:szCs w:val="20"/>
        </w:rPr>
      </w:pPr>
      <w:r>
        <w:rPr>
          <w:color w:val="000000"/>
          <w:sz w:val="22"/>
          <w:szCs w:val="20"/>
        </w:rPr>
        <w:t xml:space="preserve">2.3  This is not drafted consistent with our exchange of emails on the topic. Seller not complying with warranty obligation/providing service should obviate prohibition against opening (not just "unvoid" warranty while still constituting a material breach on Purchaser's part). Purchaser's obligations should be on a commercially reasonable basis, especially in regard to conduct of others.  </w:t>
      </w:r>
    </w:p>
    <w:p>
      <w:pPr>
        <w:pStyle w:val="Normal"/>
        <w:autoSpaceDE w:val="false"/>
        <w:spacing w:lineRule="atLeast" w:line="240"/>
        <w:rPr>
          <w:color w:val="000000"/>
          <w:sz w:val="22"/>
          <w:szCs w:val="20"/>
        </w:rPr>
      </w:pPr>
      <w:r>
        <w:rPr>
          <w:color w:val="000000"/>
          <w:sz w:val="22"/>
          <w:szCs w:val="20"/>
        </w:rPr>
        <w:t>3.1 Seller's responsibilities should reflect turnkey responsibilities.  The addition of a statement that Seller’s responsibilities include those items and services reasonably inferred from its Scope.  It is not necessary to have the language regarding fitness, but the previous language regarding newness is appropriate.</w:t>
      </w:r>
    </w:p>
    <w:p>
      <w:pPr>
        <w:pStyle w:val="Normal"/>
        <w:autoSpaceDE w:val="false"/>
        <w:spacing w:lineRule="atLeast" w:line="240"/>
        <w:rPr>
          <w:color w:val="000000"/>
          <w:sz w:val="22"/>
          <w:szCs w:val="20"/>
        </w:rPr>
      </w:pPr>
      <w:r>
        <w:rPr>
          <w:color w:val="000000"/>
          <w:sz w:val="22"/>
          <w:szCs w:val="20"/>
        </w:rPr>
        <w:t>[Compliance with law.- open]</w:t>
      </w:r>
    </w:p>
    <w:p>
      <w:pPr>
        <w:pStyle w:val="Normal"/>
        <w:autoSpaceDE w:val="false"/>
        <w:spacing w:lineRule="atLeast" w:line="240"/>
        <w:rPr>
          <w:color w:val="000000"/>
          <w:sz w:val="22"/>
          <w:szCs w:val="20"/>
        </w:rPr>
      </w:pPr>
      <w:r>
        <w:rPr>
          <w:color w:val="000000"/>
          <w:sz w:val="22"/>
          <w:szCs w:val="20"/>
        </w:rPr>
        <w:t>3.9  Suggest rewording this so that if Seller reasonably determines that the request will result in Seller incurring direct third party costs or material additional internal costs, then it shall advise Purchaser.</w:t>
      </w:r>
    </w:p>
    <w:p>
      <w:pPr>
        <w:pStyle w:val="Normal"/>
        <w:autoSpaceDE w:val="false"/>
        <w:spacing w:lineRule="atLeast" w:line="240"/>
        <w:rPr/>
      </w:pPr>
      <w:r>
        <w:rPr>
          <w:color w:val="000000"/>
          <w:sz w:val="22"/>
          <w:szCs w:val="20"/>
        </w:rPr>
        <w:t>3.10 (a) I would adding “siting or” prior to operation on the 3</w:t>
      </w:r>
      <w:r>
        <w:rPr>
          <w:color w:val="000000"/>
          <w:sz w:val="22"/>
          <w:szCs w:val="20"/>
          <w:vertAlign w:val="superscript"/>
        </w:rPr>
        <w:t>rd</w:t>
      </w:r>
      <w:r>
        <w:rPr>
          <w:color w:val="000000"/>
          <w:sz w:val="22"/>
          <w:szCs w:val="20"/>
        </w:rPr>
        <w:t xml:space="preserve"> line. Suggest a two week review/approval period for Seller, with such approval not being unreasonably withheld, conditioned or delayed.  </w:t>
      </w:r>
    </w:p>
    <w:p>
      <w:pPr>
        <w:pStyle w:val="Normal"/>
        <w:autoSpaceDE w:val="false"/>
        <w:spacing w:lineRule="atLeast" w:line="240"/>
        <w:rPr>
          <w:color w:val="000000"/>
          <w:sz w:val="22"/>
          <w:szCs w:val="20"/>
        </w:rPr>
      </w:pPr>
      <w:r>
        <w:rPr>
          <w:color w:val="000000"/>
          <w:sz w:val="22"/>
          <w:szCs w:val="20"/>
        </w:rPr>
        <w:t xml:space="preserve">3.10 (b)  Do we need to address changes to the Fixed Specifications as well as Performance Standards?  We would prefer two weeks instead of 30 days.  </w:t>
      </w:r>
    </w:p>
    <w:p>
      <w:pPr>
        <w:pStyle w:val="Normal"/>
        <w:numPr>
          <w:ilvl w:val="1"/>
          <w:numId w:val="2"/>
        </w:numPr>
        <w:autoSpaceDE w:val="false"/>
        <w:spacing w:lineRule="atLeast" w:line="240"/>
        <w:rPr>
          <w:color w:val="000000"/>
          <w:sz w:val="22"/>
          <w:szCs w:val="20"/>
        </w:rPr>
      </w:pPr>
      <w:r>
        <w:rPr>
          <w:color w:val="000000"/>
          <w:sz w:val="22"/>
          <w:szCs w:val="20"/>
        </w:rPr>
        <w:t>I thought that testing spares were included in the price, but I’ll check with others.</w:t>
      </w:r>
    </w:p>
    <w:p>
      <w:pPr>
        <w:pStyle w:val="Normal"/>
        <w:numPr>
          <w:ilvl w:val="1"/>
          <w:numId w:val="11"/>
        </w:numPr>
        <w:autoSpaceDE w:val="false"/>
        <w:spacing w:lineRule="atLeast" w:line="240"/>
        <w:rPr>
          <w:color w:val="000000"/>
          <w:sz w:val="22"/>
          <w:szCs w:val="20"/>
        </w:rPr>
      </w:pPr>
      <w:r>
        <w:rPr>
          <w:color w:val="000000"/>
          <w:sz w:val="22"/>
          <w:szCs w:val="20"/>
        </w:rPr>
        <w:t xml:space="preserve">old(g) and (h)  We would like to have these restored. Old (j) – obligation should be to devote sufficient resources, not commercially reasonable efforts.  </w:t>
      </w:r>
    </w:p>
    <w:p>
      <w:pPr>
        <w:pStyle w:val="Normal"/>
        <w:autoSpaceDE w:val="false"/>
        <w:spacing w:lineRule="atLeast" w:line="240"/>
        <w:rPr>
          <w:color w:val="000000"/>
          <w:sz w:val="22"/>
          <w:szCs w:val="20"/>
        </w:rPr>
      </w:pPr>
      <w:r>
        <w:rPr>
          <w:color w:val="000000"/>
          <w:sz w:val="22"/>
          <w:szCs w:val="20"/>
        </w:rPr>
        <w:t>5.1.1  “Units” is too narrow – the price includes the Units and the associated services, etc etc in compliance with the Scope of Work.</w:t>
      </w:r>
    </w:p>
    <w:p>
      <w:pPr>
        <w:pStyle w:val="Normal"/>
        <w:numPr>
          <w:ilvl w:val="1"/>
          <w:numId w:val="6"/>
        </w:numPr>
        <w:autoSpaceDE w:val="false"/>
        <w:spacing w:lineRule="atLeast" w:line="240"/>
        <w:rPr>
          <w:color w:val="000000"/>
          <w:sz w:val="22"/>
          <w:szCs w:val="20"/>
        </w:rPr>
      </w:pPr>
      <w:r>
        <w:rPr>
          <w:color w:val="000000"/>
          <w:sz w:val="22"/>
          <w:szCs w:val="20"/>
        </w:rPr>
        <w:t>There are termination rights related to the Permit Notice, so we need a cross reference here.</w:t>
      </w:r>
    </w:p>
    <w:p>
      <w:pPr>
        <w:pStyle w:val="Normal"/>
        <w:numPr>
          <w:ilvl w:val="1"/>
          <w:numId w:val="7"/>
        </w:numPr>
        <w:autoSpaceDE w:val="false"/>
        <w:spacing w:lineRule="atLeast" w:line="240"/>
        <w:rPr>
          <w:color w:val="000000"/>
          <w:sz w:val="22"/>
          <w:szCs w:val="20"/>
        </w:rPr>
      </w:pPr>
      <w:r>
        <w:rPr>
          <w:color w:val="000000"/>
          <w:sz w:val="22"/>
          <w:szCs w:val="20"/>
        </w:rPr>
        <w:t>Is offset dealt with somewhere?  Purchaser needs a right to offset payments for the various issues raised in the original language.</w:t>
      </w:r>
    </w:p>
    <w:p>
      <w:pPr>
        <w:pStyle w:val="Normal"/>
        <w:numPr>
          <w:ilvl w:val="1"/>
          <w:numId w:val="7"/>
        </w:numPr>
        <w:autoSpaceDE w:val="false"/>
        <w:spacing w:lineRule="atLeast" w:line="240"/>
        <w:rPr>
          <w:color w:val="000000"/>
          <w:sz w:val="22"/>
          <w:szCs w:val="20"/>
        </w:rPr>
      </w:pPr>
      <w:r>
        <w:rPr>
          <w:color w:val="000000"/>
          <w:sz w:val="22"/>
          <w:szCs w:val="20"/>
        </w:rPr>
        <w:t>Same comment on major components as before. Change wording to reference Units “achieving” Acceptance.  Seller’s termination rights should only extent to the units affected by the delay. iv (a) needs to include Specifications (specifically fixed specs), not just performance standards.  If terminated units are paid in full, Purchaser should get the units.</w:t>
      </w:r>
    </w:p>
    <w:p>
      <w:pPr>
        <w:pStyle w:val="Normal"/>
        <w:numPr>
          <w:ilvl w:val="1"/>
          <w:numId w:val="7"/>
        </w:numPr>
        <w:autoSpaceDE w:val="false"/>
        <w:spacing w:lineRule="atLeast" w:line="240"/>
        <w:rPr>
          <w:color w:val="000000"/>
          <w:sz w:val="22"/>
          <w:szCs w:val="20"/>
        </w:rPr>
      </w:pPr>
      <w:r>
        <w:rPr>
          <w:color w:val="000000"/>
          <w:sz w:val="22"/>
          <w:szCs w:val="20"/>
        </w:rPr>
        <w:t>Seller does not “maintain a lien” until payment.  A lien will not arise until Purchaser has failed to make a payment.  Please restore language referring to “other persons entitled”.</w:t>
      </w:r>
    </w:p>
    <w:p>
      <w:pPr>
        <w:pStyle w:val="Normal"/>
        <w:numPr>
          <w:ilvl w:val="1"/>
          <w:numId w:val="7"/>
        </w:numPr>
        <w:autoSpaceDE w:val="false"/>
        <w:spacing w:lineRule="atLeast" w:line="240"/>
        <w:rPr>
          <w:color w:val="000000"/>
          <w:sz w:val="22"/>
          <w:szCs w:val="20"/>
        </w:rPr>
      </w:pPr>
      <w:r>
        <w:rPr>
          <w:color w:val="000000"/>
          <w:sz w:val="22"/>
          <w:szCs w:val="20"/>
        </w:rPr>
        <w:t xml:space="preserve">We specifically discussed the contemporaneous exchange of payment and release.  </w:t>
      </w:r>
    </w:p>
    <w:p>
      <w:pPr>
        <w:pStyle w:val="Normal"/>
        <w:autoSpaceDE w:val="false"/>
        <w:spacing w:lineRule="atLeast" w:line="240"/>
        <w:rPr>
          <w:color w:val="000000"/>
          <w:sz w:val="22"/>
          <w:szCs w:val="20"/>
        </w:rPr>
      </w:pPr>
      <w:r>
        <w:rPr>
          <w:color w:val="000000"/>
          <w:sz w:val="22"/>
          <w:szCs w:val="20"/>
        </w:rPr>
        <w:t>6.9 Please restore original language, deleting reference to progress payments.</w:t>
      </w:r>
    </w:p>
    <w:p>
      <w:pPr>
        <w:pStyle w:val="Normal"/>
        <w:autoSpaceDE w:val="false"/>
        <w:spacing w:lineRule="atLeast" w:line="240"/>
        <w:rPr>
          <w:color w:val="000000"/>
          <w:sz w:val="22"/>
          <w:szCs w:val="20"/>
        </w:rPr>
      </w:pPr>
      <w:r>
        <w:rPr>
          <w:color w:val="000000"/>
          <w:sz w:val="22"/>
          <w:szCs w:val="20"/>
        </w:rPr>
        <w:t>6.10  Completion of tasks should be to Purchaser’s reasonable satisfaction. Release of payment should be in the amounts agreed to be withheld for the tasks.</w:t>
      </w:r>
    </w:p>
    <w:p>
      <w:pPr>
        <w:pStyle w:val="Normal"/>
        <w:numPr>
          <w:ilvl w:val="1"/>
          <w:numId w:val="4"/>
        </w:numPr>
        <w:autoSpaceDE w:val="false"/>
        <w:spacing w:lineRule="atLeast" w:line="240"/>
        <w:rPr>
          <w:color w:val="000000"/>
          <w:sz w:val="22"/>
          <w:szCs w:val="20"/>
        </w:rPr>
      </w:pPr>
      <w:r>
        <w:rPr>
          <w:color w:val="000000"/>
          <w:sz w:val="22"/>
          <w:szCs w:val="20"/>
        </w:rPr>
        <w:t>We can’t commit to payment in 3 days. Either 7 calendar days or 5 business days.</w:t>
      </w:r>
    </w:p>
    <w:p>
      <w:pPr>
        <w:pStyle w:val="Normal"/>
        <w:rPr>
          <w:sz w:val="22"/>
        </w:rPr>
      </w:pPr>
      <w:r>
        <w:rPr>
          <w:color w:val="000000"/>
          <w:sz w:val="22"/>
          <w:szCs w:val="20"/>
        </w:rPr>
        <w:t>7.2  The release should be binding upon both parties upon receipt by Seller so long as the the release is received prior to 3/1/01 and the pricing and delivery schedule are in accordance with Exhibit A.  For any release after March 1, the Alliance Agreement process should be incorporated.</w:t>
      </w:r>
    </w:p>
    <w:p>
      <w:pPr>
        <w:pStyle w:val="Normal"/>
        <w:numPr>
          <w:ilvl w:val="1"/>
          <w:numId w:val="14"/>
        </w:numPr>
        <w:rPr>
          <w:sz w:val="22"/>
        </w:rPr>
      </w:pPr>
      <w:r>
        <w:rPr>
          <w:sz w:val="22"/>
        </w:rPr>
        <w:t>Need time frame for update of PMP.</w:t>
      </w:r>
    </w:p>
    <w:p>
      <w:pPr>
        <w:pStyle w:val="Normal"/>
        <w:numPr>
          <w:ilvl w:val="1"/>
          <w:numId w:val="14"/>
        </w:numPr>
        <w:rPr>
          <w:sz w:val="22"/>
        </w:rPr>
      </w:pPr>
      <w:r>
        <w:rPr>
          <w:sz w:val="22"/>
        </w:rPr>
        <w:t>Need more definition of the design drawings.</w:t>
      </w:r>
    </w:p>
    <w:p>
      <w:pPr>
        <w:pStyle w:val="Normal"/>
        <w:numPr>
          <w:ilvl w:val="1"/>
          <w:numId w:val="13"/>
        </w:numPr>
        <w:rPr>
          <w:sz w:val="22"/>
        </w:rPr>
      </w:pPr>
      <w:r>
        <w:rPr>
          <w:sz w:val="22"/>
        </w:rPr>
        <w:t xml:space="preserve">See previous comments. We want verbage describing the various performance levels, ie, guarantees. Sound level to be 60 or less. </w:t>
      </w:r>
    </w:p>
    <w:p>
      <w:pPr>
        <w:pStyle w:val="Normal"/>
        <w:numPr>
          <w:ilvl w:val="1"/>
          <w:numId w:val="13"/>
        </w:numPr>
        <w:rPr>
          <w:sz w:val="22"/>
        </w:rPr>
      </w:pPr>
      <w:r>
        <w:rPr>
          <w:sz w:val="22"/>
        </w:rPr>
        <w:t>The phrase endurance is misleading, and especially confusing in light of the stack warranty.  Reliability is the more accurate term of art.</w:t>
      </w:r>
    </w:p>
    <w:p>
      <w:pPr>
        <w:pStyle w:val="Normal"/>
        <w:numPr>
          <w:ilvl w:val="1"/>
          <w:numId w:val="3"/>
        </w:numPr>
        <w:rPr>
          <w:sz w:val="22"/>
        </w:rPr>
      </w:pPr>
      <w:r>
        <w:rPr>
          <w:sz w:val="22"/>
        </w:rPr>
        <w:t>Acceptance occurs on the later date of the listed items.</w:t>
      </w:r>
    </w:p>
    <w:p>
      <w:pPr>
        <w:pStyle w:val="Normal"/>
        <w:numPr>
          <w:ilvl w:val="1"/>
          <w:numId w:val="3"/>
        </w:numPr>
        <w:rPr>
          <w:sz w:val="22"/>
        </w:rPr>
      </w:pPr>
      <w:r>
        <w:rPr>
          <w:sz w:val="22"/>
        </w:rPr>
        <w:t xml:space="preserve">Delete “Maximum”.  </w:t>
      </w:r>
    </w:p>
    <w:p>
      <w:pPr>
        <w:pStyle w:val="Normal"/>
        <w:numPr>
          <w:ilvl w:val="1"/>
          <w:numId w:val="3"/>
        </w:numPr>
        <w:rPr>
          <w:sz w:val="22"/>
        </w:rPr>
      </w:pPr>
      <w:r>
        <w:rPr>
          <w:sz w:val="22"/>
        </w:rPr>
        <w:t>Add “performance” before “standard” on third line. Add “Such Performance Standard for Water Discharge Quality shall be based on the water quality standards for the water supply for each Site, as supplied by Purchaser, and calculated in accordance with industry standards.</w:t>
      </w:r>
    </w:p>
    <w:p>
      <w:pPr>
        <w:pStyle w:val="Normal"/>
        <w:numPr>
          <w:ilvl w:val="1"/>
          <w:numId w:val="15"/>
        </w:numPr>
        <w:rPr>
          <w:sz w:val="22"/>
        </w:rPr>
      </w:pPr>
      <w:r>
        <w:rPr>
          <w:sz w:val="22"/>
        </w:rPr>
        <w:t>Should be Purchaser directed changes.</w:t>
      </w:r>
    </w:p>
    <w:p>
      <w:pPr>
        <w:pStyle w:val="Normal"/>
        <w:rPr>
          <w:sz w:val="22"/>
        </w:rPr>
      </w:pPr>
      <w:r>
        <w:rPr>
          <w:sz w:val="22"/>
        </w:rPr>
        <w:t>11.2 and 11.3 Delete the last sentence, as it isn’t realistic.</w:t>
      </w:r>
    </w:p>
    <w:p>
      <w:pPr>
        <w:pStyle w:val="Normal"/>
        <w:rPr>
          <w:sz w:val="22"/>
        </w:rPr>
      </w:pPr>
      <w:r>
        <w:rPr>
          <w:sz w:val="22"/>
        </w:rPr>
        <w:t xml:space="preserve">11.4  Reference should be to Fixed Specifications, since the Final Specs won’t be ready for a year.  </w:t>
      </w:r>
    </w:p>
    <w:p>
      <w:pPr>
        <w:pStyle w:val="Normal"/>
        <w:rPr>
          <w:sz w:val="22"/>
        </w:rPr>
      </w:pPr>
      <w:r>
        <w:rPr>
          <w:sz w:val="22"/>
        </w:rPr>
        <w:t>11.6.2 (b)  Is there a more clear way of saying this?</w:t>
      </w:r>
    </w:p>
    <w:p>
      <w:pPr>
        <w:pStyle w:val="Normal"/>
        <w:rPr>
          <w:sz w:val="22"/>
        </w:rPr>
      </w:pPr>
      <w:r>
        <w:rPr>
          <w:sz w:val="22"/>
        </w:rPr>
        <w:t>11.6.2 (d)  Change orders should be paid at Acceptance, unless the change reflects a material change is scope, and shall be subject to refund.</w:t>
      </w:r>
    </w:p>
    <w:p>
      <w:pPr>
        <w:pStyle w:val="Normal"/>
        <w:numPr>
          <w:ilvl w:val="2"/>
          <w:numId w:val="8"/>
        </w:numPr>
        <w:rPr>
          <w:sz w:val="22"/>
        </w:rPr>
      </w:pPr>
      <w:r>
        <w:rPr>
          <w:sz w:val="22"/>
        </w:rPr>
        <w:t>(iv) standard should be more specific to misuse – negligence is ok.</w:t>
      </w:r>
    </w:p>
    <w:p>
      <w:pPr>
        <w:pStyle w:val="Normal"/>
        <w:numPr>
          <w:ilvl w:val="1"/>
          <w:numId w:val="8"/>
        </w:numPr>
        <w:rPr>
          <w:sz w:val="22"/>
        </w:rPr>
      </w:pPr>
      <w:r>
        <w:rPr>
          <w:sz w:val="22"/>
        </w:rPr>
        <w:t>How does this work if only one stack replaced?</w:t>
      </w:r>
    </w:p>
    <w:p>
      <w:pPr>
        <w:pStyle w:val="Normal"/>
        <w:numPr>
          <w:ilvl w:val="1"/>
          <w:numId w:val="8"/>
        </w:numPr>
        <w:rPr>
          <w:sz w:val="22"/>
        </w:rPr>
      </w:pPr>
      <w:r>
        <w:rPr>
          <w:sz w:val="22"/>
        </w:rPr>
        <w:t>How is it prorated?</w:t>
      </w:r>
    </w:p>
    <w:p>
      <w:pPr>
        <w:pStyle w:val="Normal"/>
        <w:numPr>
          <w:ilvl w:val="1"/>
          <w:numId w:val="5"/>
        </w:numPr>
        <w:rPr>
          <w:sz w:val="22"/>
        </w:rPr>
      </w:pPr>
      <w:r>
        <w:rPr>
          <w:sz w:val="22"/>
        </w:rPr>
        <w:t>Still open.</w:t>
      </w:r>
    </w:p>
    <w:p>
      <w:pPr>
        <w:pStyle w:val="Normal"/>
        <w:numPr>
          <w:ilvl w:val="1"/>
          <w:numId w:val="9"/>
        </w:numPr>
        <w:rPr>
          <w:sz w:val="22"/>
        </w:rPr>
      </w:pPr>
      <w:r>
        <w:rPr>
          <w:sz w:val="22"/>
        </w:rPr>
        <w:t>Add “before the end of the cure period” after Acceptance on the next to the last line.</w:t>
      </w:r>
    </w:p>
    <w:p>
      <w:pPr>
        <w:pStyle w:val="Normal"/>
        <w:numPr>
          <w:ilvl w:val="1"/>
          <w:numId w:val="1"/>
        </w:numPr>
        <w:rPr>
          <w:sz w:val="22"/>
        </w:rPr>
      </w:pPr>
      <w:r>
        <w:rPr>
          <w:sz w:val="22"/>
        </w:rPr>
        <w:t>Return to “be limited to” language.</w:t>
      </w:r>
    </w:p>
    <w:p>
      <w:pPr>
        <w:pStyle w:val="Normal"/>
        <w:numPr>
          <w:ilvl w:val="1"/>
          <w:numId w:val="10"/>
        </w:numPr>
        <w:rPr>
          <w:sz w:val="22"/>
        </w:rPr>
      </w:pPr>
      <w:r>
        <w:rPr>
          <w:sz w:val="22"/>
        </w:rPr>
        <w:t>Sixty.</w:t>
      </w:r>
    </w:p>
    <w:p>
      <w:pPr>
        <w:pStyle w:val="Normal"/>
        <w:rPr>
          <w:sz w:val="22"/>
        </w:rPr>
      </w:pPr>
      <w:r>
        <w:rPr>
          <w:sz w:val="22"/>
        </w:rPr>
        <w:t>22 Still owe you language on this.  It is being discussed internally.  However, I have a concern about Seller assignment, since Seller only needs to assign in the case of an asset sale, and in that case, knowing what assets are being sold would be very important.  Therefore, assignment by Seller should require consent, subject to some reasonableness standard.</w:t>
      </w:r>
    </w:p>
    <w:p>
      <w:pPr>
        <w:pStyle w:val="Normal"/>
        <w:numPr>
          <w:ilvl w:val="1"/>
          <w:numId w:val="16"/>
        </w:numPr>
        <w:rPr>
          <w:sz w:val="22"/>
        </w:rPr>
      </w:pPr>
      <w:r>
        <w:rPr>
          <w:sz w:val="22"/>
        </w:rPr>
        <w:t>What is a product easily substituted for fuel cells?  I thought Jerry agreed to limit it to fuel cell manufacturers.</w:t>
      </w:r>
    </w:p>
    <w:p>
      <w:pPr>
        <w:pStyle w:val="Normal"/>
        <w:numPr>
          <w:ilvl w:val="1"/>
          <w:numId w:val="12"/>
        </w:numPr>
        <w:rPr>
          <w:sz w:val="22"/>
        </w:rPr>
      </w:pPr>
      <w:r>
        <w:rPr>
          <w:sz w:val="22"/>
        </w:rPr>
        <w:t>Somewhere in the document we need a statement that Seller is responsible for the acts of its agents and Vendors.(I might have missed it).</w:t>
      </w:r>
    </w:p>
    <w:p>
      <w:pPr>
        <w:pStyle w:val="Normal"/>
        <w:rPr>
          <w:sz w:val="22"/>
        </w:rPr>
      </w:pPr>
      <w:r>
        <w:rPr>
          <w:sz w:val="22"/>
        </w:rPr>
        <w:t xml:space="preserve">26.2  It must be clear that the waiver does not diminish obligation to indemnify for third party’s consequential losses.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8"/>
      <w:numFmt w:val="decimal"/>
      <w:lvlText w:val="%1"/>
      <w:lvlJc w:val="start"/>
      <w:pPr>
        <w:tabs>
          <w:tab w:val="num" w:pos="495"/>
        </w:tabs>
        <w:ind w:start="495" w:hanging="495"/>
      </w:pPr>
      <w:rPr/>
    </w:lvl>
    <w:lvl w:ilvl="1">
      <w:start w:val="2"/>
      <w:numFmt w:val="decimal"/>
      <w:lvlText w:val="%1.%2"/>
      <w:lvlJc w:val="start"/>
      <w:pPr>
        <w:tabs>
          <w:tab w:val="num" w:pos="495"/>
        </w:tabs>
        <w:ind w:start="495" w:hanging="49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
    <w:lvl w:ilvl="0">
      <w:start w:val="3"/>
      <w:numFmt w:val="decimal"/>
      <w:lvlText w:val="%1"/>
      <w:lvlJc w:val="start"/>
      <w:pPr>
        <w:tabs>
          <w:tab w:val="num" w:pos="495"/>
        </w:tabs>
        <w:ind w:start="495" w:hanging="495"/>
      </w:pPr>
      <w:rPr/>
    </w:lvl>
    <w:lvl w:ilvl="1">
      <w:start w:val="11"/>
      <w:numFmt w:val="decimal"/>
      <w:lvlText w:val="%1.%2"/>
      <w:lvlJc w:val="start"/>
      <w:pPr>
        <w:tabs>
          <w:tab w:val="num" w:pos="495"/>
        </w:tabs>
        <w:ind w:start="495" w:hanging="49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0"/>
      <w:numFmt w:val="decimal"/>
      <w:lvlText w:val="%1"/>
      <w:lvlJc w:val="start"/>
      <w:pPr>
        <w:tabs>
          <w:tab w:val="num" w:pos="495"/>
        </w:tabs>
        <w:ind w:start="495" w:hanging="495"/>
      </w:pPr>
      <w:rPr/>
    </w:lvl>
    <w:lvl w:ilvl="1">
      <w:start w:val="6"/>
      <w:numFmt w:val="decimal"/>
      <w:lvlText w:val="%1.%2"/>
      <w:lvlJc w:val="start"/>
      <w:pPr>
        <w:tabs>
          <w:tab w:val="num" w:pos="495"/>
        </w:tabs>
        <w:ind w:start="495" w:hanging="49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
    <w:lvl w:ilvl="0">
      <w:start w:val="6"/>
      <w:numFmt w:val="decimal"/>
      <w:lvlText w:val="%1"/>
      <w:lvlJc w:val="start"/>
      <w:pPr>
        <w:tabs>
          <w:tab w:val="num" w:pos="495"/>
        </w:tabs>
        <w:ind w:start="495" w:hanging="495"/>
      </w:pPr>
      <w:rPr/>
    </w:lvl>
    <w:lvl w:ilvl="1">
      <w:start w:val="11"/>
      <w:numFmt w:val="decimal"/>
      <w:lvlText w:val="%1.%2"/>
      <w:lvlJc w:val="start"/>
      <w:pPr>
        <w:tabs>
          <w:tab w:val="num" w:pos="495"/>
        </w:tabs>
        <w:ind w:start="495" w:hanging="49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14"/>
      <w:numFmt w:val="decimal"/>
      <w:lvlText w:val="%1"/>
      <w:lvlJc w:val="start"/>
      <w:pPr>
        <w:tabs>
          <w:tab w:val="num" w:pos="495"/>
        </w:tabs>
        <w:ind w:start="495" w:hanging="495"/>
      </w:pPr>
      <w:rPr/>
    </w:lvl>
    <w:lvl w:ilvl="1">
      <w:start w:val="8"/>
      <w:numFmt w:val="decimal"/>
      <w:lvlText w:val="%1.%2"/>
      <w:lvlJc w:val="start"/>
      <w:pPr>
        <w:tabs>
          <w:tab w:val="num" w:pos="495"/>
        </w:tabs>
        <w:ind w:start="495" w:hanging="49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5"/>
      <w:numFmt w:val="decimal"/>
      <w:lvlText w:val="%1"/>
      <w:lvlJc w:val="start"/>
      <w:pPr>
        <w:tabs>
          <w:tab w:val="num" w:pos="390"/>
        </w:tabs>
        <w:ind w:start="390" w:hanging="390"/>
      </w:pPr>
      <w:rPr/>
    </w:lvl>
    <w:lvl w:ilvl="1">
      <w:start w:val="4"/>
      <w:numFmt w:val="decimal"/>
      <w:lvlText w:val="%1.%2"/>
      <w:lvlJc w:val="start"/>
      <w:pPr>
        <w:tabs>
          <w:tab w:val="num" w:pos="390"/>
        </w:tabs>
        <w:ind w:start="390" w:hanging="39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7">
    <w:lvl w:ilvl="0">
      <w:start w:val="6"/>
      <w:numFmt w:val="decimal"/>
      <w:lvlText w:val="%1"/>
      <w:lvlJc w:val="start"/>
      <w:pPr>
        <w:tabs>
          <w:tab w:val="num" w:pos="390"/>
        </w:tabs>
        <w:ind w:start="390" w:hanging="390"/>
      </w:pPr>
      <w:rPr/>
    </w:lvl>
    <w:lvl w:ilvl="1">
      <w:start w:val="3"/>
      <w:numFmt w:val="decimal"/>
      <w:lvlText w:val="%1.%2"/>
      <w:lvlJc w:val="start"/>
      <w:pPr>
        <w:tabs>
          <w:tab w:val="num" w:pos="390"/>
        </w:tabs>
        <w:ind w:start="390" w:hanging="39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8">
    <w:lvl w:ilvl="0">
      <w:start w:val="14"/>
      <w:numFmt w:val="decimal"/>
      <w:lvlText w:val="%1"/>
      <w:lvlJc w:val="start"/>
      <w:pPr>
        <w:tabs>
          <w:tab w:val="num" w:pos="660"/>
        </w:tabs>
        <w:ind w:start="660" w:hanging="660"/>
      </w:pPr>
      <w:rPr/>
    </w:lvl>
    <w:lvl w:ilvl="1">
      <w:start w:val="1"/>
      <w:numFmt w:val="decimal"/>
      <w:lvlText w:val="%1.%2"/>
      <w:lvlJc w:val="start"/>
      <w:pPr>
        <w:tabs>
          <w:tab w:val="num" w:pos="660"/>
        </w:tabs>
        <w:ind w:start="660" w:hanging="66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9">
    <w:lvl w:ilvl="0">
      <w:start w:val="17"/>
      <w:numFmt w:val="decimal"/>
      <w:lvlText w:val="%1"/>
      <w:lvlJc w:val="start"/>
      <w:pPr>
        <w:tabs>
          <w:tab w:val="num" w:pos="495"/>
        </w:tabs>
        <w:ind w:start="495" w:hanging="495"/>
      </w:pPr>
      <w:rPr/>
    </w:lvl>
    <w:lvl w:ilvl="1">
      <w:start w:val="2"/>
      <w:numFmt w:val="decimal"/>
      <w:lvlText w:val="%1.%2"/>
      <w:lvlJc w:val="start"/>
      <w:pPr>
        <w:tabs>
          <w:tab w:val="num" w:pos="495"/>
        </w:tabs>
        <w:ind w:start="495" w:hanging="49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0">
    <w:lvl w:ilvl="0">
      <w:start w:val="18"/>
      <w:numFmt w:val="decimal"/>
      <w:lvlText w:val="%1"/>
      <w:lvlJc w:val="start"/>
      <w:pPr>
        <w:tabs>
          <w:tab w:val="num" w:pos="495"/>
        </w:tabs>
        <w:ind w:start="495" w:hanging="495"/>
      </w:pPr>
      <w:rPr/>
    </w:lvl>
    <w:lvl w:ilvl="1">
      <w:start w:val="8"/>
      <w:numFmt w:val="decimal"/>
      <w:lvlText w:val="%1.%2"/>
      <w:lvlJc w:val="start"/>
      <w:pPr>
        <w:tabs>
          <w:tab w:val="num" w:pos="495"/>
        </w:tabs>
        <w:ind w:start="495" w:hanging="49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1">
    <w:lvl w:ilvl="0">
      <w:start w:val="4"/>
      <w:numFmt w:val="decimal"/>
      <w:lvlText w:val="%1"/>
      <w:lvlJc w:val="start"/>
      <w:pPr>
        <w:tabs>
          <w:tab w:val="num" w:pos="390"/>
        </w:tabs>
        <w:ind w:start="390" w:hanging="390"/>
      </w:pPr>
      <w:rPr/>
    </w:lvl>
    <w:lvl w:ilvl="1">
      <w:start w:val="3"/>
      <w:numFmt w:val="decimal"/>
      <w:lvlText w:val="%1.%2"/>
      <w:lvlJc w:val="start"/>
      <w:pPr>
        <w:tabs>
          <w:tab w:val="num" w:pos="390"/>
        </w:tabs>
        <w:ind w:start="390" w:hanging="39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2">
    <w:lvl w:ilvl="0">
      <w:start w:val="23"/>
      <w:numFmt w:val="decimal"/>
      <w:lvlText w:val="%1"/>
      <w:lvlJc w:val="start"/>
      <w:pPr>
        <w:tabs>
          <w:tab w:val="num" w:pos="495"/>
        </w:tabs>
        <w:ind w:start="495" w:hanging="495"/>
      </w:pPr>
      <w:rPr/>
    </w:lvl>
    <w:lvl w:ilvl="1">
      <w:start w:val="1"/>
      <w:numFmt w:val="decimal"/>
      <w:lvlText w:val="%1.%2"/>
      <w:lvlJc w:val="start"/>
      <w:pPr>
        <w:tabs>
          <w:tab w:val="num" w:pos="495"/>
        </w:tabs>
        <w:ind w:start="495" w:hanging="49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3">
    <w:lvl w:ilvl="0">
      <w:start w:val="10"/>
      <w:numFmt w:val="decimal"/>
      <w:lvlText w:val="%1"/>
      <w:lvlJc w:val="start"/>
      <w:pPr>
        <w:tabs>
          <w:tab w:val="num" w:pos="495"/>
        </w:tabs>
        <w:ind w:start="495" w:hanging="495"/>
      </w:pPr>
      <w:rPr/>
    </w:lvl>
    <w:lvl w:ilvl="1">
      <w:start w:val="2"/>
      <w:numFmt w:val="decimal"/>
      <w:lvlText w:val="%1.%2"/>
      <w:lvlJc w:val="start"/>
      <w:pPr>
        <w:tabs>
          <w:tab w:val="num" w:pos="495"/>
        </w:tabs>
        <w:ind w:start="495" w:hanging="49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4">
    <w:lvl w:ilvl="0">
      <w:start w:val="8"/>
      <w:numFmt w:val="decimal"/>
      <w:lvlText w:val="%1"/>
      <w:lvlJc w:val="start"/>
      <w:pPr>
        <w:tabs>
          <w:tab w:val="num" w:pos="390"/>
        </w:tabs>
        <w:ind w:start="390" w:hanging="390"/>
      </w:pPr>
      <w:rPr/>
    </w:lvl>
    <w:lvl w:ilvl="1">
      <w:start w:val="1"/>
      <w:numFmt w:val="decimal"/>
      <w:lvlText w:val="%1.%2"/>
      <w:lvlJc w:val="start"/>
      <w:pPr>
        <w:tabs>
          <w:tab w:val="num" w:pos="390"/>
        </w:tabs>
        <w:ind w:start="390" w:hanging="39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5">
    <w:lvl w:ilvl="0">
      <w:start w:val="11"/>
      <w:numFmt w:val="decimal"/>
      <w:lvlText w:val="%1"/>
      <w:lvlJc w:val="start"/>
      <w:pPr>
        <w:tabs>
          <w:tab w:val="num" w:pos="495"/>
        </w:tabs>
        <w:ind w:start="495" w:hanging="495"/>
      </w:pPr>
      <w:rPr/>
    </w:lvl>
    <w:lvl w:ilvl="1">
      <w:start w:val="1"/>
      <w:numFmt w:val="decimal"/>
      <w:lvlText w:val="%1.%2"/>
      <w:lvlJc w:val="start"/>
      <w:pPr>
        <w:tabs>
          <w:tab w:val="num" w:pos="495"/>
        </w:tabs>
        <w:ind w:start="495" w:hanging="49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6">
    <w:lvl w:ilvl="0">
      <w:start w:val="22"/>
      <w:numFmt w:val="decimal"/>
      <w:lvlText w:val="%1"/>
      <w:lvlJc w:val="start"/>
      <w:pPr>
        <w:tabs>
          <w:tab w:val="num" w:pos="495"/>
        </w:tabs>
        <w:ind w:start="495" w:hanging="495"/>
      </w:pPr>
      <w:rPr/>
    </w:lvl>
    <w:lvl w:ilvl="1">
      <w:start w:val="2"/>
      <w:numFmt w:val="decimal"/>
      <w:lvlText w:val="%1.%2"/>
      <w:lvlJc w:val="start"/>
      <w:pPr>
        <w:tabs>
          <w:tab w:val="num" w:pos="495"/>
        </w:tabs>
        <w:ind w:start="495" w:hanging="49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2000-11-15T13:32:00Z</dcterms:created>
  <dc:creator>kmann</dc:creator>
  <dc:description/>
  <dc:language>en-CA</dc:language>
  <cp:lastModifiedBy>kmann</cp:lastModifiedBy>
  <dcterms:modified xsi:type="dcterms:W3CDTF">2000-11-15T19:50:00Z</dcterms:modified>
  <cp:revision>6</cp:revision>
  <dc:subject/>
  <dc:title>Here are my initial comments/observations on the first 12 pages:</dc:title>
</cp:coreProperties>
</file>