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8"/>
        </w:rPr>
        <w:t>Why should Gas Acquisition Department core customers be allocated any of the $2 million?  What are they getting for it</w:t>
      </w:r>
      <w:r>
        <w:rPr>
          <w:sz w:val="28"/>
        </w:rPr>
        <w:t>?</w:t>
      </w:r>
    </w:p>
    <w:p>
      <w:pPr>
        <w:pStyle w:val="Normal"/>
        <w:rPr>
          <w:sz w:val="28"/>
        </w:rPr>
      </w:pPr>
      <w:r>
        <w:rPr>
          <w:sz w:val="28"/>
        </w:rPr>
      </w:r>
    </w:p>
    <w:p>
      <w:pPr>
        <w:pStyle w:val="Normal"/>
        <w:rPr/>
      </w:pPr>
      <w:r>
        <w:rPr>
          <w:sz w:val="28"/>
        </w:rPr>
        <w:t xml:space="preserve">Retail core customers are receiving the same benefits from a more efficient and competitive market as all other market participants.  Like other customers, the Gas Acquisition department will </w:t>
      </w:r>
      <w:r>
        <w:rPr>
          <w:color w:val="0000FF"/>
          <w:sz w:val="28"/>
        </w:rPr>
        <w:t xml:space="preserve">use and </w:t>
      </w:r>
      <w:r>
        <w:rPr>
          <w:sz w:val="28"/>
        </w:rPr>
        <w:t>benefit from the following new opportunities, all of which are created through the development of new systems:</w:t>
      </w:r>
    </w:p>
    <w:p>
      <w:pPr>
        <w:pStyle w:val="Normal"/>
        <w:rPr>
          <w:sz w:val="28"/>
        </w:rPr>
      </w:pPr>
      <w:r>
        <w:rPr>
          <w:sz w:val="28"/>
        </w:rPr>
      </w:r>
    </w:p>
    <w:p>
      <w:pPr>
        <w:pStyle w:val="Normal"/>
        <w:numPr>
          <w:ilvl w:val="0"/>
          <w:numId w:val="2"/>
        </w:numPr>
        <w:rPr>
          <w:sz w:val="28"/>
        </w:rPr>
      </w:pPr>
      <w:r>
        <w:rPr>
          <w:sz w:val="28"/>
        </w:rPr>
        <w:t>Citygate (and receipt point) pooling</w:t>
      </w:r>
    </w:p>
    <w:p>
      <w:pPr>
        <w:pStyle w:val="Normal"/>
        <w:numPr>
          <w:ilvl w:val="0"/>
          <w:numId w:val="2"/>
        </w:numPr>
        <w:rPr>
          <w:sz w:val="28"/>
        </w:rPr>
      </w:pPr>
      <w:r>
        <w:rPr>
          <w:sz w:val="28"/>
        </w:rPr>
        <w:t>Secondary market trading of storage rights</w:t>
      </w:r>
    </w:p>
    <w:p>
      <w:pPr>
        <w:pStyle w:val="Normal"/>
        <w:numPr>
          <w:ilvl w:val="0"/>
          <w:numId w:val="2"/>
        </w:numPr>
        <w:rPr>
          <w:sz w:val="28"/>
        </w:rPr>
      </w:pPr>
      <w:r>
        <w:rPr>
          <w:sz w:val="28"/>
        </w:rPr>
        <w:t>Secondary market trading of intrastate transmission rights</w:t>
      </w:r>
    </w:p>
    <w:p>
      <w:pPr>
        <w:pStyle w:val="Normal"/>
        <w:numPr>
          <w:ilvl w:val="0"/>
          <w:numId w:val="2"/>
        </w:numPr>
        <w:rPr>
          <w:sz w:val="28"/>
        </w:rPr>
      </w:pPr>
      <w:r>
        <w:rPr>
          <w:sz w:val="28"/>
        </w:rPr>
        <w:t>Imbalance chip trading on OFO days</w:t>
      </w:r>
    </w:p>
    <w:p>
      <w:pPr>
        <w:pStyle w:val="Normal"/>
        <w:numPr>
          <w:ilvl w:val="0"/>
          <w:numId w:val="2"/>
        </w:numPr>
        <w:rPr>
          <w:b/>
          <w:sz w:val="28"/>
        </w:rPr>
      </w:pPr>
      <w:r>
        <w:rPr>
          <w:sz w:val="28"/>
        </w:rPr>
        <w:t>Greater operational and transactional information</w:t>
      </w:r>
    </w:p>
    <w:p>
      <w:pPr>
        <w:pStyle w:val="Normal"/>
        <w:rPr>
          <w:b/>
          <w:sz w:val="28"/>
        </w:rPr>
      </w:pPr>
      <w:r>
        <w:rPr>
          <w:b/>
          <w:sz w:val="28"/>
        </w:rPr>
      </w:r>
    </w:p>
    <w:p>
      <w:pPr>
        <w:pStyle w:val="Normal"/>
        <w:rPr/>
      </w:pPr>
      <w:r>
        <w:rPr/>
      </w:r>
    </w:p>
    <w:p>
      <w:pPr>
        <w:pStyle w:val="BodyText"/>
        <w:rPr>
          <w:rFonts w:ascii="Arial" w:hAnsi="Arial" w:cs="Arial"/>
          <w:b/>
        </w:rPr>
      </w:pPr>
      <w:r>
        <w:rPr>
          <w:rFonts w:cs="Arial" w:ascii="Arial" w:hAnsi="Arial"/>
          <w:b/>
        </w:rPr>
        <w:t>Section II, page 2: What about capital additions to the backbone transmission system – how will they be funded?  Are the backbone rates intended to compensate SoCalGas even for major additions to the backbone system, or could SoCalGas request incremental rates for such additions?</w:t>
      </w:r>
    </w:p>
    <w:p>
      <w:pPr>
        <w:pStyle w:val="BodyText"/>
        <w:rPr>
          <w:rFonts w:ascii="Arial" w:hAnsi="Arial" w:cs="Arial"/>
          <w:b/>
        </w:rPr>
      </w:pPr>
      <w:r>
        <w:rPr>
          <w:rFonts w:cs="Arial" w:ascii="Arial" w:hAnsi="Arial"/>
          <w:b/>
        </w:rPr>
      </w:r>
    </w:p>
    <w:p>
      <w:pPr>
        <w:pStyle w:val="Normal"/>
        <w:rPr/>
      </w:pPr>
      <w:r>
        <w:rPr/>
        <w:t xml:space="preserve">The issue of capital additions to the backbone transmission system is not specifically addressed in the CSA (or the PG&amp;E Gas Accord either).  Given that SoCalGas system has a Backbone Transmission load factor of less than 80%, there is significant excess capacity and therefore major capital additions to the Backbone Transmission system are unlikely.  (Nevertheless, any such capital additions would be funded without any request for an adjustment in the backbone system revenue requirement for the period of the CSA.)  </w:t>
      </w:r>
      <w:r>
        <w:rPr>
          <w:i/>
          <w:u w:val="single"/>
        </w:rPr>
        <w:t>Is this last sentence correct and needed?</w:t>
      </w:r>
      <w:r>
        <w:rPr/>
        <w:t xml:space="preserve">  </w:t>
      </w:r>
      <w:r>
        <w:rPr>
          <w:color w:val="0000FF"/>
        </w:rPr>
        <w:t>[Yes, and yes.]</w:t>
      </w:r>
    </w:p>
    <w:p>
      <w:pPr>
        <w:pStyle w:val="Normal"/>
        <w:rPr>
          <w:color w:val="0000FF"/>
        </w:rPr>
      </w:pPr>
      <w:r>
        <w:rPr>
          <w:color w:val="0000FF"/>
        </w:rPr>
      </w:r>
    </w:p>
    <w:p>
      <w:pPr>
        <w:pStyle w:val="Normal"/>
        <w:numPr>
          <w:ilvl w:val="3"/>
          <w:numId w:val="3"/>
        </w:numPr>
        <w:rPr>
          <w:sz w:val="28"/>
        </w:rPr>
      </w:pPr>
      <w:r>
        <w:rPr>
          <w:b/>
          <w:sz w:val="28"/>
        </w:rPr>
        <w:t>Are there any safeguards to keep one entity from acquiring all the open season capacity other than as outlined in 1.1.3.9</w:t>
      </w:r>
      <w:r>
        <w:rPr>
          <w:sz w:val="28"/>
        </w:rPr>
        <w:t>?</w:t>
      </w:r>
    </w:p>
    <w:p>
      <w:pPr>
        <w:pStyle w:val="Normal"/>
        <w:rPr>
          <w:sz w:val="28"/>
        </w:rPr>
      </w:pPr>
      <w:r>
        <w:rPr>
          <w:sz w:val="28"/>
        </w:rPr>
      </w:r>
    </w:p>
    <w:p>
      <w:pPr>
        <w:pStyle w:val="Normal"/>
        <w:rPr>
          <w:sz w:val="28"/>
        </w:rPr>
      </w:pPr>
      <w:r>
        <w:rPr>
          <w:sz w:val="28"/>
        </w:rPr>
        <w:t xml:space="preserve">Yes, there are additional and appropriate safeguards that prevent one entity from acquiring all the capacity at any receipt point. </w:t>
      </w:r>
    </w:p>
    <w:p>
      <w:pPr>
        <w:pStyle w:val="Normal"/>
        <w:rPr>
          <w:sz w:val="28"/>
        </w:rPr>
      </w:pPr>
      <w:r>
        <w:rPr>
          <w:sz w:val="28"/>
        </w:rPr>
      </w:r>
    </w:p>
    <w:p>
      <w:pPr>
        <w:pStyle w:val="Normal"/>
        <w:rPr>
          <w:sz w:val="28"/>
        </w:rPr>
      </w:pPr>
      <w:r>
        <w:rPr>
          <w:sz w:val="28"/>
        </w:rPr>
        <w:t xml:space="preserve">The Open Season rules for acquiring firm Backbone Transmission capacity rights would also prevent such an outcome.  For example, if 3 parties bid 90 MMcfd each for the 250 MMcfd of Topock Backbone Transmission capacity not allocated to the core, each bidder would receive 1/3 of the available capacity.  </w:t>
      </w:r>
    </w:p>
    <w:p>
      <w:pPr>
        <w:pStyle w:val="Normal"/>
        <w:rPr>
          <w:sz w:val="28"/>
        </w:rPr>
      </w:pPr>
      <w:r>
        <w:rPr>
          <w:sz w:val="28"/>
        </w:rPr>
      </w:r>
    </w:p>
    <w:p>
      <w:pPr>
        <w:pStyle w:val="Normal"/>
        <w:rPr/>
      </w:pPr>
      <w:r>
        <w:rPr>
          <w:sz w:val="28"/>
        </w:rPr>
        <w:t xml:space="preserve">In addition, the first and second end-use customer bid rounds in the Open Season (with incumbent 50% limits at each receipt point) would also prevent such an outcome.  </w:t>
      </w:r>
      <w:r>
        <w:rPr>
          <w:color w:val="0000FF"/>
          <w:sz w:val="28"/>
        </w:rPr>
        <w:t>[This isn’t clear to me.  Are we saying that because only 50% of the capacity is available in the customer open season and the remainder in the full open season market concentration in the open season is less likely?  This may be another opportunity to point out that (a) it’s not only the acquisition of capacity that is at issue; (b) it is the ability to withhold capacity from the market that causes competitive harm and (c) the settlement attempts to prevent that result by allowing SoCalGas to release as interruptible capacity any firm capacity unused by the original holder]</w:t>
      </w:r>
    </w:p>
    <w:p>
      <w:pPr>
        <w:pStyle w:val="Normal"/>
        <w:rPr>
          <w:color w:val="0000FF"/>
          <w:sz w:val="28"/>
        </w:rPr>
      </w:pPr>
      <w:r>
        <w:rPr>
          <w:color w:val="0000FF"/>
          <w:sz w:val="28"/>
        </w:rPr>
      </w:r>
    </w:p>
    <w:p>
      <w:pPr>
        <w:pStyle w:val="Normal"/>
        <w:rPr>
          <w:color w:val="0000FF"/>
          <w:sz w:val="28"/>
        </w:rPr>
      </w:pPr>
      <w:r>
        <w:rPr>
          <w:color w:val="0000FF"/>
          <w:sz w:val="28"/>
        </w:rPr>
      </w:r>
    </w:p>
    <w:p>
      <w:pPr>
        <w:pStyle w:val="Normal"/>
        <w:rPr>
          <w:b/>
          <w:sz w:val="28"/>
        </w:rPr>
      </w:pPr>
      <w:r>
        <w:rPr>
          <w:b/>
          <w:sz w:val="28"/>
        </w:rPr>
        <w:t xml:space="preserve">Section II  1.1.3.6, Pg. 15-16: Why is there a 50% limitation on the amount of capacity (beyond Gas Acquisition capacity) subject to bidding in the first and second stages?  How does the 50% limit take into account existing firm intrastate contracts?  </w:t>
      </w:r>
    </w:p>
    <w:p>
      <w:pPr>
        <w:pStyle w:val="Normal"/>
        <w:rPr>
          <w:b/>
          <w:sz w:val="28"/>
        </w:rPr>
      </w:pPr>
      <w:r>
        <w:rPr>
          <w:b/>
          <w:sz w:val="28"/>
        </w:rPr>
      </w:r>
    </w:p>
    <w:p>
      <w:pPr>
        <w:pStyle w:val="Normal"/>
        <w:rPr/>
      </w:pPr>
      <w:r>
        <w:rPr>
          <w:sz w:val="28"/>
        </w:rPr>
        <w:t xml:space="preserve">The 50% limit is a negotiated result between end-use customer and marketer signatories to the settlement.  </w:t>
      </w:r>
      <w:r>
        <w:rPr>
          <w:color w:val="0000FF"/>
          <w:sz w:val="28"/>
        </w:rPr>
        <w:t>[From an end-use customer perspective, the limit provides the utility’s existing transmission customers an opportunity to gain access to transmission capacity to meet their needs in advance of making the capacity available to the market generally.  The customer open season is limited to 50% of capacity, however, to ensure that marketers are not foreclosed from an opportunity to gain access to capacity.  The limitation also serves as one measure to limit the opportunity of any single party to secure market power in the initial open season.]</w:t>
      </w:r>
    </w:p>
    <w:p>
      <w:pPr>
        <w:pStyle w:val="Normal"/>
        <w:rPr>
          <w:color w:val="0000FF"/>
          <w:sz w:val="28"/>
        </w:rPr>
      </w:pPr>
      <w:r>
        <w:rPr>
          <w:color w:val="0000FF"/>
          <w:sz w:val="28"/>
        </w:rPr>
      </w:r>
    </w:p>
    <w:p>
      <w:pPr>
        <w:pStyle w:val="Normal"/>
        <w:rPr/>
      </w:pPr>
      <w:r>
        <w:rPr/>
        <w:t>The 50% limit includes all end-use customers, including the few existing firm intrastate contracts that have set-aside options specified in Section 1.9.</w:t>
      </w:r>
      <w:r>
        <w:br w:type="page"/>
      </w:r>
    </w:p>
    <w:p>
      <w:pPr>
        <w:pStyle w:val="Normal"/>
        <w:rPr/>
      </w:pPr>
      <w:r>
        <w:rPr/>
      </w:r>
    </w:p>
    <w:p>
      <w:pPr>
        <w:pStyle w:val="Normal"/>
        <w:rPr>
          <w:b/>
          <w:sz w:val="28"/>
        </w:rPr>
      </w:pPr>
      <w:r>
        <w:rPr>
          <w:b/>
          <w:sz w:val="28"/>
        </w:rPr>
        <w:t>If some storage contracts can still be entered into after approval of this settlement, does this allow for gaming the system and essentially leaving no storage available?</w:t>
      </w:r>
    </w:p>
    <w:p>
      <w:pPr>
        <w:pStyle w:val="Normal"/>
        <w:rPr>
          <w:b/>
          <w:sz w:val="28"/>
        </w:rPr>
      </w:pPr>
      <w:r>
        <w:rPr>
          <w:b/>
          <w:sz w:val="28"/>
        </w:rPr>
      </w:r>
    </w:p>
    <w:p>
      <w:pPr>
        <w:pStyle w:val="Normal"/>
        <w:rPr/>
      </w:pPr>
      <w:r>
        <w:rPr>
          <w:sz w:val="28"/>
        </w:rPr>
        <w:t xml:space="preserve">No. After the Open Season, 20% of the original unbundled storage quantity must be reserved for annual open seasons.  Monopolization of storage is impossible.  </w:t>
      </w:r>
      <w:r>
        <w:rPr>
          <w:color w:val="0000FF"/>
          <w:sz w:val="28"/>
        </w:rPr>
        <w:t>[Why is monopolization impossible?]</w:t>
      </w:r>
    </w:p>
    <w:p>
      <w:pPr>
        <w:pStyle w:val="Normal"/>
        <w:rPr>
          <w:color w:val="0000FF"/>
          <w:sz w:val="28"/>
        </w:rPr>
      </w:pPr>
      <w:r>
        <w:rPr>
          <w:color w:val="0000FF"/>
          <w:sz w:val="28"/>
        </w:rPr>
      </w:r>
    </w:p>
    <w:p>
      <w:pPr>
        <w:pStyle w:val="Normal"/>
        <w:rPr>
          <w:color w:val="0000FF"/>
          <w:sz w:val="28"/>
        </w:rPr>
      </w:pPr>
      <w:r>
        <w:rPr>
          <w:color w:val="0000FF"/>
          <w:sz w:val="28"/>
        </w:rPr>
      </w:r>
    </w:p>
    <w:p>
      <w:pPr>
        <w:pStyle w:val="Normal"/>
        <w:rPr>
          <w:b/>
          <w:sz w:val="28"/>
        </w:rPr>
      </w:pPr>
      <w:r>
        <w:rPr>
          <w:b/>
          <w:sz w:val="28"/>
        </w:rPr>
        <w:t>3.2.3 Is there no balancing function at all for noncore not using local transmission or distribution?</w:t>
      </w:r>
    </w:p>
    <w:p>
      <w:pPr>
        <w:pStyle w:val="Normal"/>
        <w:rPr>
          <w:b/>
          <w:sz w:val="28"/>
        </w:rPr>
      </w:pPr>
      <w:r>
        <w:rPr>
          <w:b/>
          <w:sz w:val="28"/>
        </w:rPr>
      </w:r>
    </w:p>
    <w:p>
      <w:pPr>
        <w:pStyle w:val="Normal"/>
        <w:rPr>
          <w:color w:val="0000FF"/>
          <w:sz w:val="28"/>
        </w:rPr>
      </w:pPr>
      <w:r>
        <w:rPr>
          <w:sz w:val="28"/>
        </w:rPr>
        <w:t xml:space="preserve">For noncore customer who are directly connected to the Backbone Transmission system, there will still be local transmission and distribution charges and they will be subject to the same balancing rules as all other noncore customers </w:t>
      </w:r>
      <w:r>
        <w:rPr>
          <w:color w:val="0000FF"/>
          <w:sz w:val="28"/>
        </w:rPr>
        <w:t>[unless and until the Commission takes further action on the bypass issues that are left unresolved by the settlement]</w:t>
      </w:r>
      <w:r>
        <w:rPr>
          <w:sz w:val="28"/>
        </w:rPr>
        <w:t>. The noncore self-balancing credit in Section 3.2.3 will apply against noncore local transmission and distribution charges</w:t>
      </w:r>
    </w:p>
    <w:p>
      <w:pPr>
        <w:pStyle w:val="Normal"/>
        <w:rPr>
          <w:color w:val="0000FF"/>
          <w:sz w:val="28"/>
        </w:rPr>
      </w:pPr>
      <w:r>
        <w:rPr>
          <w:color w:val="0000FF"/>
          <w:sz w:val="28"/>
        </w:rPr>
      </w:r>
    </w:p>
    <w:p>
      <w:pPr>
        <w:pStyle w:val="Normal"/>
        <w:rPr>
          <w:color w:val="0000FF"/>
        </w:rPr>
      </w:pPr>
      <w:r>
        <w:rPr>
          <w:color w:val="0000FF"/>
        </w:rPr>
      </w:r>
    </w:p>
    <w:p>
      <w:pPr>
        <w:pStyle w:val="Normal"/>
        <w:rPr>
          <w:b/>
          <w:sz w:val="28"/>
        </w:rPr>
      </w:pPr>
      <w:r>
        <w:rPr>
          <w:b/>
          <w:sz w:val="28"/>
        </w:rPr>
        <w:t>6.2.3.2, pg.67: Why will price not be shown on GasSelect for negotiated contracts in effect on and after April 1, 2003 when settlement goes so much longer?</w:t>
      </w:r>
    </w:p>
    <w:p>
      <w:pPr>
        <w:pStyle w:val="Normal"/>
        <w:rPr>
          <w:b/>
          <w:sz w:val="28"/>
        </w:rPr>
      </w:pPr>
      <w:r>
        <w:rPr>
          <w:b/>
          <w:sz w:val="28"/>
        </w:rPr>
      </w:r>
    </w:p>
    <w:p>
      <w:pPr>
        <w:pStyle w:val="Normal"/>
        <w:tabs>
          <w:tab w:val="clear" w:pos="720"/>
          <w:tab w:val="left" w:pos="1260" w:leader="none"/>
        </w:tabs>
        <w:ind w:hanging="1260" w:start="1260" w:end="0"/>
        <w:rPr/>
      </w:pPr>
      <w:r>
        <w:rPr>
          <w:color w:val="0000FF"/>
          <w:sz w:val="28"/>
        </w:rPr>
        <w:t>[This provision is a compromise between SoCalGas and customer interests. From SoCalGas’ perspective, p]</w:t>
      </w:r>
      <w:r>
        <w:rPr>
          <w:sz w:val="28"/>
        </w:rPr>
        <w:t>rice information posting is no longer necessary once SoCalGas is, like its competitors, fully at-risk for the recovery of unbundled storage costs.  Also, by 2003 secondary markets for storage services will be very robust, which will provide a great deal of price discovery information for customers.</w:t>
      </w:r>
      <w:r>
        <w:rPr>
          <w:sz w:val="28"/>
          <w:u w:val="single"/>
        </w:rPr>
        <w:t xml:space="preserve"> 1.9, Pg. 6</w:t>
      </w:r>
      <w:r>
        <w:rPr>
          <w:sz w:val="28"/>
        </w:rPr>
        <w:t>:</w:t>
        <w:tab/>
        <w:t>If a customer currently has a firm intrastate transportation contract but doesn’t participate in the Open Season, how will those customers’ receipt points and capacity be determined?</w:t>
      </w:r>
    </w:p>
    <w:p>
      <w:pPr>
        <w:pStyle w:val="Normal"/>
        <w:tabs>
          <w:tab w:val="clear" w:pos="720"/>
          <w:tab w:val="left" w:pos="1260" w:leader="none"/>
        </w:tabs>
        <w:ind w:hanging="1260" w:start="1260" w:end="0"/>
        <w:rPr>
          <w:sz w:val="28"/>
        </w:rPr>
      </w:pPr>
      <w:r>
        <w:rPr>
          <w:sz w:val="28"/>
        </w:rPr>
      </w:r>
    </w:p>
    <w:p>
      <w:pPr>
        <w:pStyle w:val="Normal"/>
        <w:tabs>
          <w:tab w:val="clear" w:pos="720"/>
          <w:tab w:val="left" w:pos="1260" w:leader="none"/>
        </w:tabs>
        <w:ind w:hanging="1260" w:start="1260" w:end="0"/>
        <w:rPr>
          <w:sz w:val="28"/>
        </w:rPr>
      </w:pPr>
      <w:r>
        <w:rPr>
          <w:sz w:val="28"/>
        </w:rPr>
      </w:r>
    </w:p>
    <w:p>
      <w:pPr>
        <w:pStyle w:val="Normal"/>
        <w:tabs>
          <w:tab w:val="clear" w:pos="720"/>
          <w:tab w:val="left" w:pos="1260" w:leader="none"/>
        </w:tabs>
        <w:ind w:hanging="1260" w:start="1260" w:end="0"/>
        <w:rPr>
          <w:sz w:val="28"/>
        </w:rPr>
      </w:pPr>
      <w:r>
        <w:rPr>
          <w:sz w:val="28"/>
          <w:u w:val="single"/>
        </w:rPr>
        <w:t>Answer:</w:t>
      </w:r>
    </w:p>
    <w:p>
      <w:pPr>
        <w:pStyle w:val="Normal"/>
        <w:tabs>
          <w:tab w:val="clear" w:pos="720"/>
          <w:tab w:val="left" w:pos="1260" w:leader="none"/>
        </w:tabs>
        <w:ind w:hanging="1260" w:start="1260" w:end="0"/>
        <w:rPr>
          <w:sz w:val="28"/>
        </w:rPr>
      </w:pPr>
      <w:r>
        <w:rPr>
          <w:sz w:val="28"/>
        </w:rPr>
      </w:r>
    </w:p>
    <w:p>
      <w:pPr>
        <w:pStyle w:val="BodyText"/>
        <w:rPr/>
      </w:pPr>
      <w:r>
        <w:rPr>
          <w:b/>
          <w:color w:val="0000FF"/>
        </w:rPr>
        <w:t xml:space="preserve">[Brian:  I object to this response.  This explanation was not a part of our settlement discussions and extends beyond our agreement.  The settlement parties did not agree to any particular treatment of any loingterm contracts with the exception of SCE and SDG&amp;E.]  </w:t>
      </w:r>
      <w:r>
        <w:rPr>
          <w:b/>
        </w:rPr>
        <w:t>SoCalGas has contracts with NorAm Ocean Vista (formerly Edison Mandalay) and three Oxnard customers (Procter &amp; Gamble, Willamette, and EFO) that have special provisions for deliveries at a specific receipt point.  These customers will have the option to receive set-asides at the receipt points specified in their contracts prior to the open season.  The set-asides quantity at the specific receipt points is based on the quantities specified in their contract.  Should such a customer not elect the set-asides option, they will be considered the same as other noncore customers for purposes of determining their open season participation.  As discussed in Mr. Lorenz’ rebuttal testimony on page 22, other customers with existing firm intrastate long-term contract will continue to be free to use a variety of mechanisms to schedule supplies through the receipt point of their choice.  SoCalGas will then credit the rate contained in the existing contracts by the Backbone Transmission rate of 7.2¢/Dth to allow backbone purchases (made through either the open season or through secondary, as-available markets) without limiting the benefits of the existing contracts.</w:t>
      </w:r>
    </w:p>
    <w:p>
      <w:pPr>
        <w:pStyle w:val="Normal"/>
        <w:rPr>
          <w:b/>
          <w:sz w:val="28"/>
        </w:rPr>
      </w:pPr>
      <w:r>
        <w:rPr>
          <w:b/>
          <w:sz w:val="28"/>
        </w:rPr>
      </w:r>
    </w:p>
    <w:p>
      <w:pPr>
        <w:pStyle w:val="Normal"/>
        <w:ind w:hanging="1260" w:start="1440" w:end="720"/>
        <w:rPr>
          <w:b/>
        </w:rPr>
      </w:pPr>
      <w:r>
        <w:rPr>
          <w:b/>
        </w:rPr>
        <w:t>Question 2:</w:t>
      </w:r>
      <w:r>
        <w:rPr/>
        <w:tab/>
        <w:t>List all of the fees and potential penalties/noncompliance charges described by the Agreement.  For each case explain which customers these fees and penalties/charges would be collected from and how they would be allocated.</w:t>
      </w:r>
    </w:p>
    <w:p>
      <w:pPr>
        <w:pStyle w:val="Normal"/>
        <w:ind w:hanging="540" w:start="720" w:end="720"/>
        <w:rPr>
          <w:b/>
        </w:rPr>
      </w:pPr>
      <w:r>
        <w:rPr>
          <w:b/>
        </w:rPr>
      </w:r>
    </w:p>
    <w:p>
      <w:pPr>
        <w:pStyle w:val="Normal"/>
        <w:ind w:hanging="540" w:start="720" w:end="720"/>
        <w:rPr>
          <w:b/>
        </w:rPr>
      </w:pPr>
      <w:r>
        <w:rPr>
          <w:b/>
        </w:rPr>
      </w:r>
    </w:p>
    <w:p>
      <w:pPr>
        <w:pStyle w:val="Normal"/>
        <w:ind w:hanging="540" w:start="720" w:end="720"/>
        <w:rPr>
          <w:b/>
        </w:rPr>
      </w:pPr>
      <w:r>
        <w:rPr>
          <w:b/>
        </w:rPr>
      </w:r>
    </w:p>
    <w:p>
      <w:pPr>
        <w:pStyle w:val="Normal"/>
        <w:ind w:hanging="1260" w:start="1440" w:end="720"/>
        <w:rPr/>
      </w:pPr>
      <w:r>
        <w:rPr>
          <w:b/>
        </w:rPr>
        <w:t>Response 2:</w:t>
      </w:r>
      <w:r>
        <w:rPr/>
        <w:tab/>
        <w:t>OFO day imbalance charges: All customers (core, nocore and self-balancing) outside of tolerance will be subject to OFO imbalance charges.</w:t>
      </w:r>
    </w:p>
    <w:p>
      <w:pPr>
        <w:pStyle w:val="Normal"/>
        <w:ind w:hanging="1260" w:start="1440" w:end="720"/>
        <w:rPr>
          <w:rFonts w:eastAsia="Arial"/>
        </w:rPr>
      </w:pPr>
      <w:r>
        <w:rPr>
          <w:rFonts w:eastAsia="Arial"/>
        </w:rPr>
        <w:t xml:space="preserve"> </w:t>
      </w:r>
    </w:p>
    <w:p>
      <w:pPr>
        <w:pStyle w:val="Normal"/>
        <w:ind w:start="1440" w:end="720"/>
        <w:rPr/>
      </w:pPr>
      <w:r>
        <w:rPr/>
        <w:t>Self-Balancing daily imbalance charges: Self-balancing customers outside of tolerance will be subject to daily imbalance charges.</w:t>
      </w:r>
    </w:p>
    <w:p>
      <w:pPr>
        <w:pStyle w:val="Normal"/>
        <w:ind w:start="1440" w:end="720"/>
        <w:rPr/>
      </w:pPr>
      <w:r>
        <w:rPr/>
      </w:r>
    </w:p>
    <w:p>
      <w:pPr>
        <w:pStyle w:val="Normal"/>
        <w:ind w:start="1440" w:end="720"/>
        <w:rPr/>
      </w:pPr>
      <w:r>
        <w:rPr/>
        <w:t xml:space="preserve">Self-Balancing accumulated daily imbalance charges: Self-balancing customers outside of tolerance will be subject to accumulated daily imbalance charges. </w:t>
      </w:r>
      <w:r>
        <w:rPr>
          <w:b/>
        </w:rPr>
        <w:t>(What is this?)</w:t>
      </w:r>
    </w:p>
    <w:p>
      <w:pPr>
        <w:pStyle w:val="Normal"/>
        <w:ind w:start="1440" w:end="720"/>
        <w:rPr>
          <w:b/>
        </w:rPr>
      </w:pPr>
      <w:r>
        <w:rPr>
          <w:b/>
        </w:rPr>
      </w:r>
    </w:p>
    <w:p>
      <w:pPr>
        <w:pStyle w:val="Normal"/>
        <w:ind w:start="1440" w:end="720"/>
        <w:rPr/>
      </w:pPr>
      <w:r>
        <w:rPr/>
        <w:t xml:space="preserve">Pooling transfer charge: Applicable to any pool owner when transfers exceed free limit.  </w:t>
      </w:r>
      <w:r>
        <w:rPr>
          <w:color w:val="0000FF"/>
        </w:rPr>
        <w:t>[Subject to termination.]</w:t>
      </w:r>
    </w:p>
    <w:p>
      <w:pPr>
        <w:pStyle w:val="Normal"/>
        <w:ind w:start="1440" w:end="720"/>
        <w:rPr>
          <w:color w:val="0000FF"/>
        </w:rPr>
      </w:pPr>
      <w:r>
        <w:rPr>
          <w:color w:val="0000FF"/>
        </w:rPr>
      </w:r>
    </w:p>
    <w:p>
      <w:pPr>
        <w:pStyle w:val="Normal"/>
        <w:ind w:start="1440" w:end="720"/>
        <w:rPr/>
      </w:pPr>
      <w:r>
        <w:rPr/>
        <w:t>ALTRA anonymous trading system fee: Applicable to any subscriber of the trading system.</w:t>
      </w:r>
    </w:p>
    <w:p>
      <w:pPr>
        <w:pStyle w:val="Normal"/>
        <w:ind w:start="1440" w:end="720"/>
        <w:rPr/>
      </w:pPr>
      <w:r>
        <w:rPr/>
      </w:r>
    </w:p>
    <w:p>
      <w:pPr>
        <w:pStyle w:val="Normal"/>
        <w:ind w:start="1440" w:end="720"/>
        <w:rPr/>
      </w:pPr>
      <w:r>
        <w:rPr/>
        <w:t>The allocation of such charges are to be determined per Section 1.6.1.1 of the Comprehensive Settlement.</w:t>
      </w:r>
    </w:p>
    <w:p>
      <w:pPr>
        <w:pStyle w:val="Normal"/>
        <w:ind w:start="1440" w:end="720"/>
        <w:rPr/>
      </w:pPr>
      <w:r>
        <w:rPr/>
      </w:r>
    </w:p>
    <w:p>
      <w:pPr>
        <w:pStyle w:val="Normal"/>
        <w:ind w:start="1440" w:end="720"/>
        <w:rPr/>
      </w:pPr>
      <w:r>
        <w:rPr/>
      </w:r>
    </w:p>
    <w:p>
      <w:pPr>
        <w:pStyle w:val="Normal"/>
        <w:ind w:start="1440" w:end="720"/>
        <w:rPr>
          <w:b/>
        </w:rPr>
      </w:pPr>
      <w:r>
        <w:rPr>
          <w:b/>
        </w:rPr>
        <w:t xml:space="preserve">(Bob will need to add monthly imbalance chsrges for both core and noncore.) </w:t>
      </w:r>
    </w:p>
    <w:p>
      <w:pPr>
        <w:pStyle w:val="Normal"/>
        <w:rPr>
          <w:b/>
          <w:sz w:val="28"/>
        </w:rPr>
      </w:pPr>
      <w:r>
        <w:rPr>
          <w:b/>
          <w:sz w:val="28"/>
        </w:rPr>
      </w:r>
    </w:p>
    <w:p>
      <w:pPr>
        <w:pStyle w:val="Normal"/>
        <w:rPr>
          <w:sz w:val="28"/>
        </w:rPr>
      </w:pPr>
      <w:r>
        <w:rPr>
          <w:sz w:val="28"/>
        </w:rPr>
      </w:r>
    </w:p>
    <w:p>
      <w:pPr>
        <w:pStyle w:val="Normal"/>
        <w:rPr>
          <w:color w:val="0000FF"/>
          <w:sz w:val="28"/>
        </w:rPr>
      </w:pPr>
      <w:r>
        <w:rPr>
          <w:color w:val="0000FF"/>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3"/>
      <w:numFmt w:val="decimal"/>
      <w:lvlText w:val="%1.%2.%3"/>
      <w:lvlJc w:val="start"/>
      <w:pPr>
        <w:tabs>
          <w:tab w:val="num" w:pos="1440"/>
        </w:tabs>
        <w:ind w:start="1440" w:hanging="1440"/>
      </w:pPr>
      <w:rPr/>
    </w:lvl>
    <w:lvl w:ilvl="3">
      <w:start w:val="6"/>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BodyText"/>
    <w:qFormat/>
    <w:pPr>
      <w:keepNext w:val="true"/>
      <w:numPr>
        <w:ilvl w:val="1"/>
        <w:numId w:val="1"/>
      </w:numPr>
      <w:spacing w:before="0" w:after="240"/>
      <w:outlineLvl w:val="1"/>
    </w:pPr>
    <w:rPr>
      <w:rFonts w:ascii="Times New Roman" w:hAnsi="Times New Roman" w:cs="Times New Roman"/>
      <w:b/>
      <w:i/>
    </w:rPr>
  </w:style>
  <w:style w:type="paragraph" w:styleId="Heading3">
    <w:name w:val="heading 3"/>
    <w:basedOn w:val="Normal"/>
    <w:next w:val="BodyText"/>
    <w:qFormat/>
    <w:pPr>
      <w:keepNext w:val="true"/>
      <w:numPr>
        <w:ilvl w:val="2"/>
        <w:numId w:val="1"/>
      </w:numPr>
      <w:spacing w:before="0" w:after="240"/>
      <w:outlineLvl w:val="2"/>
    </w:pPr>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2000-05-29T14:58:00Z</dcterms:created>
  <dc:creator>Evelyn Elsesser</dc:creator>
  <dc:description/>
  <dc:language>en-CA</dc:language>
  <cp:lastModifiedBy>Evelyn Elsesser</cp:lastModifiedBy>
  <dcterms:modified xsi:type="dcterms:W3CDTF">2000-05-29T15:37:00Z</dcterms:modified>
  <cp:revision>8</cp:revision>
  <dc:subject/>
  <dc:title>Why should Gas Acquisition Department core customers be allocated any of the $2 million</dc:title>
</cp:coreProperties>
</file>