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October 13, 2000</w:t>
      </w:r>
    </w:p>
    <w:p>
      <w:pPr>
        <w:pStyle w:val="Normal"/>
        <w:rPr>
          <w:sz w:val="24"/>
        </w:rPr>
      </w:pPr>
      <w:r>
        <w:rPr>
          <w:sz w:val="24"/>
        </w:rPr>
      </w:r>
    </w:p>
    <w:p>
      <w:pPr>
        <w:pStyle w:val="Normal"/>
        <w:rPr>
          <w:sz w:val="24"/>
        </w:rPr>
      </w:pPr>
      <w:r>
        <w:rPr>
          <w:sz w:val="24"/>
        </w:rPr>
        <w:t>Mr. Lynn Dekrey</w:t>
      </w:r>
    </w:p>
    <w:p>
      <w:pPr>
        <w:pStyle w:val="Normal"/>
        <w:rPr>
          <w:sz w:val="24"/>
        </w:rPr>
      </w:pPr>
      <w:r>
        <w:rPr>
          <w:sz w:val="24"/>
        </w:rPr>
        <w:t>Siemens Westinghouse Power Corporation</w:t>
      </w:r>
    </w:p>
    <w:p>
      <w:pPr>
        <w:pStyle w:val="Normal"/>
        <w:rPr>
          <w:sz w:val="24"/>
        </w:rPr>
      </w:pPr>
      <w:r>
        <w:rPr>
          <w:sz w:val="24"/>
        </w:rPr>
        <w:t>4400 Alafaya Trail</w:t>
      </w:r>
    </w:p>
    <w:p>
      <w:pPr>
        <w:pStyle w:val="Normal"/>
        <w:rPr>
          <w:sz w:val="24"/>
        </w:rPr>
      </w:pPr>
      <w:r>
        <w:rPr>
          <w:sz w:val="24"/>
        </w:rPr>
        <w:t>Orlando, FL  32826-2399</w:t>
      </w:r>
    </w:p>
    <w:p>
      <w:pPr>
        <w:pStyle w:val="Normal"/>
        <w:rPr>
          <w:sz w:val="24"/>
        </w:rPr>
      </w:pPr>
      <w:r>
        <w:rPr>
          <w:sz w:val="24"/>
        </w:rPr>
      </w:r>
    </w:p>
    <w:p>
      <w:pPr>
        <w:pStyle w:val="Normal"/>
        <w:rPr>
          <w:sz w:val="24"/>
        </w:rPr>
      </w:pPr>
      <w:r>
        <w:rPr>
          <w:sz w:val="24"/>
        </w:rPr>
        <w:t xml:space="preserve">References: </w:t>
      </w:r>
    </w:p>
    <w:p>
      <w:pPr>
        <w:pStyle w:val="Normal"/>
        <w:numPr>
          <w:ilvl w:val="0"/>
          <w:numId w:val="1"/>
        </w:numPr>
        <w:rPr>
          <w:sz w:val="24"/>
        </w:rPr>
      </w:pPr>
      <w:r>
        <w:rPr>
          <w:sz w:val="24"/>
        </w:rPr>
        <w:t>Siemens Westinghouse Letter SW/NCP-022 dated July 26, 2000 (“Letter”).</w:t>
      </w:r>
    </w:p>
    <w:p>
      <w:pPr>
        <w:pStyle w:val="Normal"/>
        <w:numPr>
          <w:ilvl w:val="0"/>
          <w:numId w:val="1"/>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 Late Delivery</w:t>
      </w:r>
    </w:p>
    <w:p>
      <w:pPr>
        <w:pStyle w:val="Normal"/>
        <w:rPr>
          <w:sz w:val="24"/>
        </w:rPr>
      </w:pPr>
      <w:r>
        <w:rPr>
          <w:sz w:val="24"/>
        </w:rPr>
      </w:r>
    </w:p>
    <w:p>
      <w:pPr>
        <w:pStyle w:val="Normal"/>
        <w:rPr>
          <w:sz w:val="24"/>
        </w:rPr>
      </w:pPr>
      <w:r>
        <w:rPr>
          <w:sz w:val="24"/>
        </w:rPr>
        <w:t>Dear Mr. Dekrey:</w:t>
      </w:r>
    </w:p>
    <w:p>
      <w:pPr>
        <w:pStyle w:val="Normal"/>
        <w:rPr>
          <w:sz w:val="24"/>
        </w:rPr>
      </w:pPr>
      <w:r>
        <w:rPr>
          <w:sz w:val="24"/>
        </w:rPr>
      </w:r>
    </w:p>
    <w:p>
      <w:pPr>
        <w:pStyle w:val="Normal"/>
        <w:rPr>
          <w:sz w:val="24"/>
        </w:rPr>
      </w:pPr>
      <w:r>
        <w:rPr>
          <w:sz w:val="24"/>
        </w:rPr>
        <w:t>Enron Equipment Procurement Company (EEPC) is in receipt of the Letter.</w:t>
      </w:r>
    </w:p>
    <w:p>
      <w:pPr>
        <w:pStyle w:val="Normal"/>
        <w:rPr>
          <w:sz w:val="24"/>
        </w:rPr>
      </w:pPr>
      <w:r>
        <w:rPr>
          <w:sz w:val="24"/>
        </w:rPr>
      </w:r>
    </w:p>
    <w:p>
      <w:pPr>
        <w:pStyle w:val="Normal"/>
        <w:rPr>
          <w:sz w:val="24"/>
        </w:rPr>
      </w:pPr>
      <w:r>
        <w:rPr>
          <w:sz w:val="24"/>
        </w:rPr>
        <w:t>EEPC does not believe that the salt water damage to the generator mentioned in the Letter is an Event of Force Majeure under the Contract.  This event was entirely within your control and therefore does not excuse your delay in performance of the Contract.  Therefore, the Guaranteed Unit Delivery Date to the Delivery Point of Houston, Texas remains September 2, 2000 as previously agreed.</w:t>
      </w:r>
    </w:p>
    <w:p>
      <w:pPr>
        <w:pStyle w:val="Normal"/>
        <w:rPr>
          <w:sz w:val="24"/>
        </w:rPr>
      </w:pPr>
      <w:r>
        <w:rPr>
          <w:sz w:val="24"/>
        </w:rPr>
      </w:r>
    </w:p>
    <w:p>
      <w:pPr>
        <w:pStyle w:val="Normal"/>
        <w:rPr>
          <w:sz w:val="24"/>
        </w:rPr>
      </w:pPr>
      <w:r>
        <w:rPr>
          <w:sz w:val="24"/>
        </w:rPr>
        <w:t xml:space="preserve">Furthermore, to date, Siemens Westinghouse has not achieved delivery of the gas turbine component of the CT-Unit to the Delivery Point in a complete and undamaged condition.  </w:t>
      </w:r>
    </w:p>
    <w:p>
      <w:pPr>
        <w:pStyle w:val="Normal"/>
        <w:rPr>
          <w:sz w:val="24"/>
        </w:rPr>
      </w:pPr>
      <w:r>
        <w:rPr>
          <w:sz w:val="24"/>
        </w:rPr>
      </w:r>
    </w:p>
    <w:p>
      <w:pPr>
        <w:pStyle w:val="Normal"/>
        <w:rPr>
          <w:sz w:val="24"/>
        </w:rPr>
      </w:pPr>
      <w:r>
        <w:rPr>
          <w:sz w:val="24"/>
        </w:rPr>
        <w:t>Please continue to keep us informed of your actions taken to achieve delivery of the complete Unit.</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p>
    <w:p>
      <w:pPr>
        <w:pStyle w:val="Normal"/>
        <w:rPr>
          <w:sz w:val="24"/>
        </w:rPr>
      </w:pPr>
      <w:r>
        <w:rPr>
          <w:sz w:val="24"/>
        </w:rPr>
        <w:t>Kay Mann</w:t>
      </w:r>
    </w:p>
    <w:p>
      <w:pPr>
        <w:pStyle w:val="Normal"/>
        <w:rPr>
          <w:sz w:val="24"/>
        </w:rPr>
      </w:pPr>
      <w:r>
        <w:rPr>
          <w:sz w:val="24"/>
        </w:rPr>
        <w:t>John Schwartzenburg</w:t>
      </w:r>
    </w:p>
    <w:p>
      <w:pPr>
        <w:pStyle w:val="Normal"/>
        <w:rPr>
          <w:sz w:val="24"/>
        </w:rPr>
      </w:pPr>
      <w:r>
        <w:rPr>
          <w:sz w:val="24"/>
        </w:rPr>
        <w:t>David Bargainer</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2000-10-13T16:59:00Z</dcterms:created>
  <dc:creator>Enron Technology</dc:creator>
  <dc:description/>
  <dc:language>en-CA</dc:language>
  <cp:lastModifiedBy>Enron Technology</cp:lastModifiedBy>
  <cp:lastPrinted>2000-10-13T18:58:00Z</cp:lastPrinted>
  <dcterms:modified xsi:type="dcterms:W3CDTF">2000-10-13T21:50:00Z</dcterms:modified>
  <cp:revision>9</cp:revision>
  <dc:subject/>
  <dc:title>October 13, 2000</dc:title>
</cp:coreProperties>
</file>