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00" w:type="dxa"/>
        <w:jc w:val="start"/>
        <w:tblInd w:w="18" w:type="dxa"/>
        <w:tblLayout w:type="fixed"/>
        <w:tblCellMar>
          <w:top w:w="0" w:type="dxa"/>
          <w:start w:w="108" w:type="dxa"/>
          <w:bottom w:w="0" w:type="dxa"/>
          <w:end w:w="108" w:type="dxa"/>
        </w:tblCellMar>
      </w:tblPr>
      <w:tblGrid>
        <w:gridCol w:w="3560"/>
        <w:gridCol w:w="5940"/>
      </w:tblGrid>
      <w:tr>
        <w:trPr>
          <w:trHeight w:val="1143" w:hRule="atLeast"/>
        </w:trPr>
        <w:tc>
          <w:tcPr>
            <w:tcW w:w="3560" w:type="dxa"/>
            <w:tcBorders>
              <w:bottom w:val="single" w:sz="4" w:space="0" w:color="000000"/>
            </w:tcBorders>
          </w:tcPr>
          <w:p>
            <w:pPr>
              <w:pStyle w:val="COUNTRY"/>
              <w:spacing w:before="180" w:after="0"/>
              <w:rPr>
                <w:lang w:val="en-US"/>
              </w:rPr>
            </w:pPr>
            <w:r>
              <w:rPr>
                <w:lang w:val="en-US"/>
              </w:rPr>
              <w:t>Global Power North America</w:t>
              <w:br/>
              <w:t>Credit Update</w:t>
            </w:r>
            <w:r>
              <mc:AlternateContent>
                <mc:Choice Requires="wps">
                  <w:drawing>
                    <wp:anchor behindDoc="0" distT="0" distB="91440" distL="114935" distR="114935" simplePos="0" locked="0" layoutInCell="0" allowOverlap="1" relativeHeight="10">
                      <wp:simplePos x="0" y="0"/>
                      <wp:positionH relativeFrom="page">
                        <wp:posOffset>911225</wp:posOffset>
                      </wp:positionH>
                      <wp:positionV relativeFrom="page">
                        <wp:posOffset>6937375</wp:posOffset>
                      </wp:positionV>
                      <wp:extent cx="2146300" cy="1999615"/>
                      <wp:effectExtent l="0" t="0" r="0" b="0"/>
                      <wp:wrapNone/>
                      <wp:docPr id="1" name="Frame1"/>
                      <a:graphic xmlns:a="http://schemas.openxmlformats.org/drawingml/2006/main">
                        <a:graphicData uri="http://schemas.microsoft.com/office/word/2010/wordprocessingShape">
                          <wps:wsp>
                            <wps:cNvSpPr txBox="1"/>
                            <wps:spPr>
                              <a:xfrm>
                                <a:off x="0" y="0"/>
                                <a:ext cx="2146300" cy="1999615"/>
                              </a:xfrm>
                              <a:prstGeom prst="rect"/>
                              <a:solidFill>
                                <a:srgbClr val="F8F8F8"/>
                              </a:solidFill>
                              <a:ln w="6350">
                                <a:solidFill>
                                  <a:srgbClr val="333333"/>
                                </a:solidFill>
                              </a:ln>
                            </wps:spPr>
                            <wps:txbx>
                              <w:txbxContent>
                                <w:p>
                                  <w:pPr>
                                    <w:pStyle w:val="TBLSPACE"/>
                                    <w:rPr>
                                      <w:lang w:val="en-US"/>
                                    </w:rPr>
                                  </w:pPr>
                                  <w:r>
                                    <w:rPr>
                                      <w:lang w:val="en-US"/>
                                    </w:rPr>
                                  </w:r>
                                </w:p>
                                <w:p>
                                  <w:pPr>
                                    <w:pStyle w:val="SUBHEAD1"/>
                                    <w:spacing w:before="0" w:after="0"/>
                                    <w:rPr>
                                      <w:lang w:val="en-US"/>
                                    </w:rPr>
                                  </w:pPr>
                                  <w:r>
                                    <w:rPr>
                                      <w:lang w:val="en-US"/>
                                    </w:rPr>
                                    <w:t>Key Credit Strengths</w:t>
                                  </w:r>
                                </w:p>
                                <w:p>
                                  <w:pPr>
                                    <w:pStyle w:val="BULLETDECK"/>
                                    <w:numPr>
                                      <w:ilvl w:val="0"/>
                                      <w:numId w:val="16"/>
                                    </w:numPr>
                                    <w:rPr/>
                                  </w:pPr>
                                  <w:r>
                                    <w:rPr/>
                                    <w:t>Strong credit fundamentals.</w:t>
                                  </w:r>
                                </w:p>
                                <w:p>
                                  <w:pPr>
                                    <w:pStyle w:val="BULLETDECK"/>
                                    <w:numPr>
                                      <w:ilvl w:val="0"/>
                                      <w:numId w:val="16"/>
                                    </w:numPr>
                                    <w:rPr/>
                                  </w:pPr>
                                  <w:r>
                                    <w:rPr/>
                                    <w:t>Solid supply and market positions.</w:t>
                                  </w:r>
                                </w:p>
                                <w:p>
                                  <w:pPr>
                                    <w:pStyle w:val="BULLETDECK"/>
                                    <w:numPr>
                                      <w:ilvl w:val="0"/>
                                      <w:numId w:val="16"/>
                                    </w:numPr>
                                    <w:rPr/>
                                  </w:pPr>
                                  <w:r>
                                    <w:rPr/>
                                    <w:t>Stable and consistent cash flow.</w:t>
                                  </w:r>
                                </w:p>
                                <w:p>
                                  <w:pPr>
                                    <w:pStyle w:val="TBLSPACE"/>
                                    <w:numPr>
                                      <w:ilvl w:val="0"/>
                                      <w:numId w:val="0"/>
                                    </w:numPr>
                                    <w:ind w:hanging="0" w:start="0"/>
                                    <w:rPr/>
                                  </w:pPr>
                                  <w:r>
                                    <w:rPr/>
                                  </w:r>
                                </w:p>
                                <w:p>
                                  <w:pPr>
                                    <w:pStyle w:val="SUBHEAD1"/>
                                    <w:numPr>
                                      <w:ilvl w:val="0"/>
                                      <w:numId w:val="0"/>
                                    </w:numPr>
                                    <w:spacing w:before="120" w:after="0"/>
                                    <w:ind w:hanging="0" w:start="0"/>
                                    <w:rPr/>
                                  </w:pPr>
                                  <w:r>
                                    <w:rPr/>
                                    <w:t>Key Credit Concerns</w:t>
                                  </w:r>
                                </w:p>
                                <w:p>
                                  <w:pPr>
                                    <w:pStyle w:val="BULLETDECK"/>
                                    <w:numPr>
                                      <w:ilvl w:val="0"/>
                                      <w:numId w:val="16"/>
                                    </w:numPr>
                                    <w:rPr/>
                                  </w:pPr>
                                  <w:r>
                                    <w:rPr/>
                                    <w:t>Weakened credit profile at Enron Corp.</w:t>
                                  </w:r>
                                </w:p>
                                <w:p>
                                  <w:pPr>
                                    <w:pStyle w:val="BULLETDECK"/>
                                    <w:numPr>
                                      <w:ilvl w:val="0"/>
                                      <w:numId w:val="16"/>
                                    </w:numPr>
                                    <w:rPr>
                                      <w:lang w:val="en-US"/>
                                    </w:rPr>
                                  </w:pPr>
                                  <w:r>
                                    <w:rPr/>
                                    <w:t>Subordinated position to secured bank lenders.</w:t>
                                  </w:r>
                                </w:p>
                              </w:txbxContent>
                            </wps:txbx>
                            <wps:bodyPr anchor="t" lIns="91440" tIns="45720" rIns="91440" bIns="45720">
                              <a:noAutofit/>
                            </wps:bodyPr>
                          </wps:wsp>
                        </a:graphicData>
                      </a:graphic>
                    </wp:anchor>
                  </w:drawing>
                </mc:Choice>
                <mc:Fallback>
                  <w:pict>
                    <v:rect fillcolor="#F8F8F8" strokecolor="#333333" strokeweight="0pt" style="position:absolute;rotation:-0;width:169pt;height:157.45pt;mso-wrap-distance-left:9.05pt;mso-wrap-distance-right:9.05pt;mso-wrap-distance-top:0pt;mso-wrap-distance-bottom:7.2pt;margin-top:546.25pt;mso-position-vertical-relative:page;margin-left:71.75pt;mso-position-horizontal-relative:page">
                      <v:textbox>
                        <w:txbxContent>
                          <w:p>
                            <w:pPr>
                              <w:pStyle w:val="TBLSPACE"/>
                              <w:rPr>
                                <w:lang w:val="en-US"/>
                              </w:rPr>
                            </w:pPr>
                            <w:r>
                              <w:rPr>
                                <w:lang w:val="en-US"/>
                              </w:rPr>
                            </w:r>
                          </w:p>
                          <w:p>
                            <w:pPr>
                              <w:pStyle w:val="SUBHEAD1"/>
                              <w:spacing w:before="0" w:after="0"/>
                              <w:rPr>
                                <w:lang w:val="en-US"/>
                              </w:rPr>
                            </w:pPr>
                            <w:r>
                              <w:rPr>
                                <w:lang w:val="en-US"/>
                              </w:rPr>
                              <w:t>Key Credit Strengths</w:t>
                            </w:r>
                          </w:p>
                          <w:p>
                            <w:pPr>
                              <w:pStyle w:val="BULLETDECK"/>
                              <w:numPr>
                                <w:ilvl w:val="0"/>
                                <w:numId w:val="16"/>
                              </w:numPr>
                              <w:rPr/>
                            </w:pPr>
                            <w:r>
                              <w:rPr/>
                              <w:t>Strong credit fundamentals.</w:t>
                            </w:r>
                          </w:p>
                          <w:p>
                            <w:pPr>
                              <w:pStyle w:val="BULLETDECK"/>
                              <w:numPr>
                                <w:ilvl w:val="0"/>
                                <w:numId w:val="16"/>
                              </w:numPr>
                              <w:rPr/>
                            </w:pPr>
                            <w:r>
                              <w:rPr/>
                              <w:t>Solid supply and market positions.</w:t>
                            </w:r>
                          </w:p>
                          <w:p>
                            <w:pPr>
                              <w:pStyle w:val="BULLETDECK"/>
                              <w:numPr>
                                <w:ilvl w:val="0"/>
                                <w:numId w:val="16"/>
                              </w:numPr>
                              <w:rPr/>
                            </w:pPr>
                            <w:r>
                              <w:rPr/>
                              <w:t>Stable and consistent cash flow.</w:t>
                            </w:r>
                          </w:p>
                          <w:p>
                            <w:pPr>
                              <w:pStyle w:val="TBLSPACE"/>
                              <w:numPr>
                                <w:ilvl w:val="0"/>
                                <w:numId w:val="0"/>
                              </w:numPr>
                              <w:ind w:hanging="0" w:start="0"/>
                              <w:rPr/>
                            </w:pPr>
                            <w:r>
                              <w:rPr/>
                            </w:r>
                          </w:p>
                          <w:p>
                            <w:pPr>
                              <w:pStyle w:val="SUBHEAD1"/>
                              <w:numPr>
                                <w:ilvl w:val="0"/>
                                <w:numId w:val="0"/>
                              </w:numPr>
                              <w:spacing w:before="120" w:after="0"/>
                              <w:ind w:hanging="0" w:start="0"/>
                              <w:rPr/>
                            </w:pPr>
                            <w:r>
                              <w:rPr/>
                              <w:t>Key Credit Concerns</w:t>
                            </w:r>
                          </w:p>
                          <w:p>
                            <w:pPr>
                              <w:pStyle w:val="BULLETDECK"/>
                              <w:numPr>
                                <w:ilvl w:val="0"/>
                                <w:numId w:val="16"/>
                              </w:numPr>
                              <w:rPr/>
                            </w:pPr>
                            <w:r>
                              <w:rPr/>
                              <w:t>Weakened credit profile at Enron Corp.</w:t>
                            </w:r>
                          </w:p>
                          <w:p>
                            <w:pPr>
                              <w:pStyle w:val="BULLETDECK"/>
                              <w:numPr>
                                <w:ilvl w:val="0"/>
                                <w:numId w:val="16"/>
                              </w:numPr>
                              <w:rPr>
                                <w:lang w:val="en-US"/>
                              </w:rPr>
                            </w:pPr>
                            <w:r>
                              <w:rPr/>
                              <w:t>Subordinated position to secured bank lenders.</w:t>
                            </w:r>
                          </w:p>
                        </w:txbxContent>
                      </v:textbox>
                      <w10:wrap type="none"/>
                    </v:rect>
                  </w:pict>
                </mc:Fallback>
              </mc:AlternateContent>
            </w:r>
          </w:p>
          <w:p>
            <w:pPr>
              <w:pStyle w:val="COUNTRY"/>
              <w:rPr>
                <w:lang w:val="en-US"/>
              </w:rPr>
            </w:pPr>
            <w:r>
              <w:rPr>
                <w:lang w:val="en-US"/>
              </w:rPr>
            </w:r>
          </w:p>
        </w:tc>
        <w:tc>
          <w:tcPr>
            <w:tcW w:w="5940" w:type="dxa"/>
            <w:tcBorders>
              <w:bottom w:val="single" w:sz="4" w:space="0" w:color="000000"/>
            </w:tcBorders>
          </w:tcPr>
          <w:p>
            <w:pPr>
              <w:pStyle w:val="BANKNAME"/>
              <w:spacing w:before="120" w:after="0"/>
              <w:rPr>
                <w:lang w:val="en-US"/>
              </w:rPr>
            </w:pPr>
            <w:r>
              <w:rPr>
                <w:lang w:val="en-US"/>
              </w:rPr>
              <w:t>Northern Natural Gas Co.</w:t>
            </w:r>
          </w:p>
          <w:p>
            <w:pPr>
              <w:pStyle w:val="BANKNAME1"/>
              <w:spacing w:before="0" w:after="120"/>
              <w:rPr>
                <w:lang w:val="en-US"/>
              </w:rPr>
            </w:pPr>
            <w:r>
              <w:rPr>
                <w:lang w:val="en-US"/>
              </w:rPr>
              <w:t>Subsidiary of Enron Corp.</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DECKSUBHEAD"/>
        <w:rPr/>
      </w:pPr>
      <w:r>
        <w:rPr/>
        <w:t>Ratings</w:t>
      </w:r>
    </w:p>
    <w:p>
      <w:pPr>
        <w:pStyle w:val="TBLSPACE"/>
        <w:rPr>
          <w:lang w:val="en-US"/>
        </w:rPr>
      </w:pPr>
      <w:r>
        <w:rPr>
          <w:lang w:val="en-US"/>
        </w:rPr>
      </w:r>
    </w:p>
    <w:tbl>
      <w:tblPr>
        <w:tblW w:w="3510" w:type="dxa"/>
        <w:jc w:val="start"/>
        <w:tblInd w:w="18" w:type="dxa"/>
        <w:tblLayout w:type="fixed"/>
        <w:tblCellMar>
          <w:top w:w="0" w:type="dxa"/>
          <w:start w:w="108" w:type="dxa"/>
          <w:bottom w:w="0" w:type="dxa"/>
          <w:end w:w="108" w:type="dxa"/>
        </w:tblCellMar>
      </w:tblPr>
      <w:tblGrid>
        <w:gridCol w:w="1350"/>
        <w:gridCol w:w="630"/>
        <w:gridCol w:w="720"/>
        <w:gridCol w:w="810"/>
      </w:tblGrid>
      <w:tr>
        <w:trPr/>
        <w:tc>
          <w:tcPr>
            <w:tcW w:w="1350" w:type="dxa"/>
            <w:tcBorders/>
          </w:tcPr>
          <w:p>
            <w:pPr>
              <w:pStyle w:val="TBLLEFT"/>
              <w:rPr>
                <w:b/>
                <w:sz w:val="14"/>
                <w:lang w:val="en-US"/>
              </w:rPr>
            </w:pPr>
            <w:r>
              <w:rPr>
                <w:b/>
                <w:sz w:val="14"/>
                <w:lang w:val="en-US"/>
              </w:rPr>
              <w:t>Security</w:t>
            </w:r>
          </w:p>
        </w:tc>
        <w:tc>
          <w:tcPr>
            <w:tcW w:w="630" w:type="dxa"/>
            <w:tcBorders/>
          </w:tcPr>
          <w:p>
            <w:pPr>
              <w:pStyle w:val="TBLLEFT"/>
              <w:ind w:end="-108"/>
              <w:rPr>
                <w:b/>
                <w:spacing w:val="-6"/>
                <w:sz w:val="14"/>
                <w:lang w:val="en-US"/>
              </w:rPr>
            </w:pPr>
            <w:r>
              <w:rPr>
                <w:b/>
                <w:spacing w:val="-6"/>
                <w:sz w:val="14"/>
                <w:lang w:val="en-US"/>
              </w:rPr>
              <w:t>Current</w:t>
            </w:r>
          </w:p>
        </w:tc>
        <w:tc>
          <w:tcPr>
            <w:tcW w:w="720" w:type="dxa"/>
            <w:tcBorders/>
          </w:tcPr>
          <w:p>
            <w:pPr>
              <w:pStyle w:val="TBLLEFT"/>
              <w:ind w:end="-108"/>
              <w:rPr>
                <w:b/>
                <w:spacing w:val="-8"/>
                <w:sz w:val="14"/>
                <w:lang w:val="en-US"/>
              </w:rPr>
            </w:pPr>
            <w:r>
              <w:rPr>
                <w:b/>
                <w:spacing w:val="-8"/>
                <w:sz w:val="14"/>
                <w:lang w:val="en-US"/>
              </w:rPr>
              <w:t>Previous</w:t>
            </w:r>
          </w:p>
        </w:tc>
        <w:tc>
          <w:tcPr>
            <w:tcW w:w="810" w:type="dxa"/>
            <w:tcBorders/>
          </w:tcPr>
          <w:p>
            <w:pPr>
              <w:pStyle w:val="TBLRIGHT"/>
              <w:ind w:end="0"/>
              <w:rPr>
                <w:b/>
                <w:sz w:val="14"/>
                <w:lang w:val="en-US"/>
              </w:rPr>
            </w:pPr>
            <w:r>
              <w:rPr>
                <w:b/>
                <w:sz w:val="14"/>
                <w:lang w:val="en-US"/>
              </w:rPr>
              <w:t>Date</w:t>
            </w:r>
          </w:p>
        </w:tc>
      </w:tr>
      <w:tr>
        <w:trPr/>
        <w:tc>
          <w:tcPr>
            <w:tcW w:w="1350" w:type="dxa"/>
            <w:tcBorders/>
          </w:tcPr>
          <w:p>
            <w:pPr>
              <w:pStyle w:val="TBLLEFT"/>
              <w:rPr>
                <w:b/>
                <w:sz w:val="14"/>
                <w:lang w:val="en-US"/>
              </w:rPr>
            </w:pPr>
            <w:r>
              <w:rPr>
                <w:b/>
                <w:sz w:val="14"/>
                <w:lang w:val="en-US"/>
              </w:rPr>
              <w:t>Class</w:t>
            </w:r>
          </w:p>
        </w:tc>
        <w:tc>
          <w:tcPr>
            <w:tcW w:w="630" w:type="dxa"/>
            <w:tcBorders/>
          </w:tcPr>
          <w:p>
            <w:pPr>
              <w:pStyle w:val="TBLLEFT"/>
              <w:ind w:end="-108"/>
              <w:rPr>
                <w:b/>
                <w:sz w:val="14"/>
                <w:lang w:val="en-US"/>
              </w:rPr>
            </w:pPr>
            <w:r>
              <w:rPr>
                <w:b/>
                <w:sz w:val="14"/>
                <w:lang w:val="en-US"/>
              </w:rPr>
              <w:t>Rating</w:t>
            </w:r>
          </w:p>
        </w:tc>
        <w:tc>
          <w:tcPr>
            <w:tcW w:w="720" w:type="dxa"/>
            <w:tcBorders/>
          </w:tcPr>
          <w:p>
            <w:pPr>
              <w:pStyle w:val="TBLLEFT"/>
              <w:rPr>
                <w:b/>
                <w:sz w:val="14"/>
                <w:lang w:val="en-US"/>
              </w:rPr>
            </w:pPr>
            <w:r>
              <w:rPr>
                <w:b/>
                <w:sz w:val="14"/>
                <w:lang w:val="en-US"/>
              </w:rPr>
              <w:t>Rating</w:t>
            </w:r>
          </w:p>
        </w:tc>
        <w:tc>
          <w:tcPr>
            <w:tcW w:w="810" w:type="dxa"/>
            <w:tcBorders/>
          </w:tcPr>
          <w:p>
            <w:pPr>
              <w:pStyle w:val="TBLRIGHT"/>
              <w:ind w:start="-108" w:end="0"/>
              <w:rPr>
                <w:b/>
                <w:spacing w:val="-6"/>
                <w:sz w:val="14"/>
                <w:lang w:val="en-US"/>
              </w:rPr>
            </w:pPr>
            <w:r>
              <w:rPr>
                <w:b/>
                <w:spacing w:val="-6"/>
                <w:sz w:val="14"/>
                <w:lang w:val="en-US"/>
              </w:rPr>
              <w:t>Changed</w:t>
            </w:r>
          </w:p>
        </w:tc>
      </w:tr>
      <w:tr>
        <w:trPr/>
        <w:tc>
          <w:tcPr>
            <w:tcW w:w="3510" w:type="dxa"/>
            <w:gridSpan w:val="4"/>
            <w:tcBorders/>
          </w:tcPr>
          <w:p>
            <w:pPr>
              <w:pStyle w:val="TBLRULECOLUMNHEAD"/>
              <w:snapToGrid w:val="false"/>
              <w:rPr>
                <w:b/>
                <w:spacing w:val="-6"/>
                <w:sz w:val="14"/>
                <w:lang w:val="en-US"/>
              </w:rPr>
            </w:pPr>
            <w:r>
              <w:rPr>
                <w:b/>
                <w:spacing w:val="-6"/>
                <w:sz w:val="14"/>
                <w:lang w:val="en-US"/>
              </w:rPr>
            </w:r>
          </w:p>
        </w:tc>
      </w:tr>
      <w:tr>
        <w:trPr/>
        <w:tc>
          <w:tcPr>
            <w:tcW w:w="1350" w:type="dxa"/>
            <w:tcBorders/>
          </w:tcPr>
          <w:p>
            <w:pPr>
              <w:pStyle w:val="TBLLEFT"/>
              <w:rPr>
                <w:sz w:val="14"/>
              </w:rPr>
            </w:pPr>
            <w:r>
              <w:rPr>
                <w:sz w:val="14"/>
              </w:rPr>
              <w:t>Sr. Unsec.</w:t>
            </w:r>
          </w:p>
        </w:tc>
        <w:tc>
          <w:tcPr>
            <w:tcW w:w="630" w:type="dxa"/>
            <w:tcBorders/>
          </w:tcPr>
          <w:p>
            <w:pPr>
              <w:pStyle w:val="TBLLEFT"/>
              <w:rPr>
                <w:sz w:val="14"/>
              </w:rPr>
            </w:pPr>
            <w:r>
              <w:rPr>
                <w:sz w:val="14"/>
              </w:rPr>
              <w:t>BBB–</w:t>
            </w:r>
          </w:p>
        </w:tc>
        <w:tc>
          <w:tcPr>
            <w:tcW w:w="720" w:type="dxa"/>
            <w:tcBorders/>
          </w:tcPr>
          <w:p>
            <w:pPr>
              <w:pStyle w:val="TBLLEFT"/>
              <w:ind w:end="-108"/>
              <w:rPr>
                <w:sz w:val="14"/>
              </w:rPr>
            </w:pPr>
            <w:r>
              <w:rPr>
                <w:sz w:val="14"/>
              </w:rPr>
              <w:t>A-</w:t>
            </w:r>
          </w:p>
        </w:tc>
        <w:tc>
          <w:tcPr>
            <w:tcW w:w="810" w:type="dxa"/>
            <w:tcBorders/>
          </w:tcPr>
          <w:p>
            <w:pPr>
              <w:pStyle w:val="TBLRIGHT"/>
              <w:ind w:start="-108" w:end="-18"/>
              <w:rPr>
                <w:sz w:val="14"/>
              </w:rPr>
            </w:pPr>
            <w:r>
              <w:rPr>
                <w:sz w:val="14"/>
              </w:rPr>
              <w:t>11/5/01</w:t>
            </w:r>
          </w:p>
        </w:tc>
      </w:tr>
      <w:tr>
        <w:trPr/>
        <w:tc>
          <w:tcPr>
            <w:tcW w:w="1350" w:type="dxa"/>
            <w:tcBorders/>
          </w:tcPr>
          <w:p>
            <w:pPr>
              <w:pStyle w:val="TBLLEFT"/>
              <w:snapToGrid w:val="false"/>
              <w:rPr>
                <w:spacing w:val="-4"/>
                <w:sz w:val="14"/>
                <w:lang w:val="en-US"/>
              </w:rPr>
            </w:pPr>
            <w:r>
              <w:rPr>
                <w:spacing w:val="-4"/>
                <w:sz w:val="14"/>
                <w:lang w:val="en-US"/>
              </w:rPr>
            </w:r>
          </w:p>
        </w:tc>
        <w:tc>
          <w:tcPr>
            <w:tcW w:w="630" w:type="dxa"/>
            <w:tcBorders/>
            <w:vAlign w:val="bottom"/>
          </w:tcPr>
          <w:p>
            <w:pPr>
              <w:pStyle w:val="TBLLEFT"/>
              <w:snapToGrid w:val="false"/>
              <w:rPr>
                <w:spacing w:val="-4"/>
                <w:sz w:val="14"/>
                <w:lang w:val="en-US"/>
              </w:rPr>
            </w:pPr>
            <w:r>
              <w:rPr>
                <w:spacing w:val="-4"/>
                <w:sz w:val="14"/>
                <w:lang w:val="en-US"/>
              </w:rPr>
            </w:r>
          </w:p>
        </w:tc>
        <w:tc>
          <w:tcPr>
            <w:tcW w:w="720" w:type="dxa"/>
            <w:tcBorders/>
            <w:vAlign w:val="bottom"/>
          </w:tcPr>
          <w:p>
            <w:pPr>
              <w:pStyle w:val="TBLLEFT"/>
              <w:snapToGrid w:val="false"/>
              <w:rPr>
                <w:sz w:val="14"/>
                <w:lang w:val="en-US"/>
              </w:rPr>
            </w:pPr>
            <w:r>
              <w:rPr>
                <w:sz w:val="14"/>
                <w:lang w:val="en-US"/>
              </w:rPr>
            </w:r>
          </w:p>
        </w:tc>
        <w:tc>
          <w:tcPr>
            <w:tcW w:w="810" w:type="dxa"/>
            <w:tcBorders/>
            <w:vAlign w:val="bottom"/>
          </w:tcPr>
          <w:p>
            <w:pPr>
              <w:pStyle w:val="TBLRIGHT"/>
              <w:snapToGrid w:val="false"/>
              <w:ind w:start="-108" w:end="-18"/>
              <w:rPr>
                <w:sz w:val="14"/>
                <w:lang w:val="en-US"/>
              </w:rPr>
            </w:pPr>
            <w:r>
              <w:rPr>
                <w:sz w:val="14"/>
                <w:lang w:val="en-US"/>
              </w:rPr>
            </w:r>
          </w:p>
        </w:tc>
      </w:tr>
      <w:tr>
        <w:trPr/>
        <w:tc>
          <w:tcPr>
            <w:tcW w:w="1350" w:type="dxa"/>
            <w:tcBorders/>
          </w:tcPr>
          <w:p>
            <w:pPr>
              <w:pStyle w:val="TBLLEFT"/>
              <w:snapToGrid w:val="false"/>
              <w:rPr>
                <w:sz w:val="14"/>
                <w:lang w:val="en-US"/>
              </w:rPr>
            </w:pPr>
            <w:r>
              <w:rPr>
                <w:sz w:val="14"/>
                <w:lang w:val="en-US"/>
              </w:rPr>
            </w:r>
          </w:p>
        </w:tc>
        <w:tc>
          <w:tcPr>
            <w:tcW w:w="630" w:type="dxa"/>
            <w:tcBorders/>
          </w:tcPr>
          <w:p>
            <w:pPr>
              <w:pStyle w:val="TBLLEFT"/>
              <w:snapToGrid w:val="false"/>
              <w:rPr>
                <w:sz w:val="14"/>
                <w:lang w:val="en-US"/>
              </w:rPr>
            </w:pPr>
            <w:r>
              <w:rPr>
                <w:sz w:val="14"/>
                <w:lang w:val="en-US"/>
              </w:rPr>
            </w:r>
          </w:p>
        </w:tc>
        <w:tc>
          <w:tcPr>
            <w:tcW w:w="720" w:type="dxa"/>
            <w:tcBorders/>
          </w:tcPr>
          <w:p>
            <w:pPr>
              <w:pStyle w:val="TBLLEFT"/>
              <w:snapToGrid w:val="false"/>
              <w:rPr>
                <w:sz w:val="14"/>
                <w:lang w:val="en-US"/>
              </w:rPr>
            </w:pPr>
            <w:r>
              <w:rPr>
                <w:sz w:val="14"/>
                <w:lang w:val="en-US"/>
              </w:rPr>
            </w:r>
          </w:p>
        </w:tc>
        <w:tc>
          <w:tcPr>
            <w:tcW w:w="810" w:type="dxa"/>
            <w:tcBorders/>
          </w:tcPr>
          <w:p>
            <w:pPr>
              <w:pStyle w:val="TBLRIGHT"/>
              <w:snapToGrid w:val="false"/>
              <w:ind w:start="-108" w:end="-18"/>
              <w:rPr>
                <w:sz w:val="14"/>
                <w:lang w:val="en-US"/>
              </w:rPr>
            </w:pPr>
            <w:r>
              <w:rPr>
                <w:sz w:val="14"/>
                <w:lang w:val="en-US"/>
              </w:rPr>
            </w:r>
          </w:p>
        </w:tc>
      </w:tr>
    </w:tbl>
    <w:p>
      <w:pPr>
        <w:pStyle w:val="DECKRATINGS"/>
        <w:rPr>
          <w:lang w:val="en-US"/>
        </w:rPr>
      </w:pPr>
      <w:r>
        <w:rPr>
          <w:lang w:val="en-US"/>
        </w:rPr>
      </w:r>
    </w:p>
    <w:p>
      <w:pPr>
        <w:pStyle w:val="DECKRATINGS"/>
        <w:rPr/>
      </w:pPr>
      <w:r>
        <w:rPr>
          <w:b/>
          <w:lang w:val="en-US"/>
        </w:rPr>
        <w:t>Rating Watch…………………………………..</w:t>
      </w:r>
      <w:r>
        <w:rPr>
          <w:lang w:val="en-US"/>
        </w:rPr>
        <w:t>Evolving</w:t>
      </w:r>
    </w:p>
    <w:p>
      <w:pPr>
        <w:pStyle w:val="DECKRATINGS"/>
        <w:rPr/>
      </w:pPr>
      <w:r>
        <w:rPr>
          <w:b/>
          <w:lang w:val="en-US"/>
        </w:rPr>
        <w:t>Rating Outlook</w:t>
      </w:r>
      <w:r>
        <w:rPr>
          <w:lang w:val="en-US"/>
        </w:rPr>
        <w:tab/>
        <w:t>None</w:t>
      </w:r>
    </w:p>
    <w:p>
      <w:pPr>
        <w:pStyle w:val="DECKSUBHEAD"/>
        <w:rPr/>
      </w:pPr>
      <w:r>
        <w:rPr/>
        <w:t>Analysts</w:t>
      </w:r>
    </w:p>
    <w:p>
      <w:pPr>
        <w:pStyle w:val="DECKTEXT"/>
        <w:rPr>
          <w:b/>
        </w:rPr>
      </w:pPr>
      <w:r>
        <w:rPr/>
        <w:t>Ralph Pellecchia</w:t>
      </w:r>
    </w:p>
    <w:p>
      <w:pPr>
        <w:pStyle w:val="DECKTEXT"/>
        <w:rPr/>
      </w:pPr>
      <w:r>
        <w:rPr/>
        <w:t>1 212 908-0586</w:t>
      </w:r>
    </w:p>
    <w:p>
      <w:pPr>
        <w:pStyle w:val="DECKTEXT"/>
        <w:rPr/>
      </w:pPr>
      <w:r>
        <w:rPr/>
        <w:t>ralph.pellechia@fitchratings.com</w:t>
      </w:r>
    </w:p>
    <w:p>
      <w:pPr>
        <w:pStyle w:val="DECKTEXT"/>
        <w:rPr/>
      </w:pPr>
      <w:r>
        <w:rPr/>
      </w:r>
    </w:p>
    <w:p>
      <w:pPr>
        <w:pStyle w:val="DECKTEXT"/>
        <w:rPr/>
      </w:pPr>
      <w:r>
        <w:rPr/>
        <w:t>Hugh Welton</w:t>
      </w:r>
    </w:p>
    <w:p>
      <w:pPr>
        <w:pStyle w:val="DECKTEXT"/>
        <w:rPr/>
      </w:pPr>
      <w:r>
        <w:rPr/>
        <w:t>1 212 908-0746</w:t>
      </w:r>
    </w:p>
    <w:p>
      <w:pPr>
        <w:pStyle w:val="DECKTEXT"/>
        <w:rPr>
          <w:lang w:val="en-US"/>
        </w:rPr>
      </w:pPr>
      <w:r>
        <w:rPr/>
        <w:t>hugh.welton@fitchratings.com</w:t>
      </w:r>
    </w:p>
    <w:p>
      <w:pPr>
        <w:pStyle w:val="SUBHEAD1"/>
        <w:rPr>
          <w:sz w:val="20"/>
          <w:lang w:val="en-US"/>
        </w:rPr>
      </w:pPr>
      <w:r>
        <w:rPr>
          <w:sz w:val="20"/>
          <w:lang w:val="en-US"/>
        </w:rPr>
        <w:t>Profile</w:t>
      </w:r>
    </w:p>
    <w:p>
      <w:pPr>
        <w:pStyle w:val="DECKTEXT"/>
        <w:rPr>
          <w:lang w:val="en-US"/>
        </w:rPr>
      </w:pPr>
      <w:r>
        <w:rPr/>
        <w:t>NNG is Enron Corp.’s largest interstate pipeline; it owns and operates approximately 17,000 miles of pipeline extending from Southern Texas to the Upper Michigan Peninsula. The company also provides transportation and storage services and operates three natural gas storage facilities and two liquefied natural gas storage peaking units.</w:t>
      </w:r>
    </w:p>
    <w:p>
      <w:pPr>
        <w:pStyle w:val="SUBHEAD1"/>
        <w:rPr>
          <w:lang w:val="en-US"/>
        </w:rPr>
      </w:pPr>
      <w:r>
        <w:rPr>
          <w:lang w:val="en-US"/>
        </w:rPr>
        <w:t>Related Research</w:t>
      </w:r>
    </w:p>
    <w:p>
      <w:pPr>
        <w:pStyle w:val="DECKTEXT"/>
        <w:numPr>
          <w:ilvl w:val="0"/>
          <w:numId w:val="16"/>
        </w:numPr>
        <w:rPr>
          <w:lang w:val="en-US"/>
        </w:rPr>
      </w:pPr>
      <w:r>
        <w:rPr/>
        <w:t>Enron Corp.</w:t>
      </w:r>
    </w:p>
    <w:p>
      <w:pPr>
        <w:pStyle w:val="DECKTEXT"/>
        <w:numPr>
          <w:ilvl w:val="0"/>
          <w:numId w:val="16"/>
        </w:numPr>
        <w:rPr>
          <w:lang w:val="en-US"/>
        </w:rPr>
      </w:pPr>
      <w:r>
        <w:rPr/>
        <w:t>Transwestern Pipeline Co.</w:t>
      </w:r>
    </w:p>
    <w:p>
      <w:pPr>
        <w:pStyle w:val="DECKTEXT"/>
        <w:rPr>
          <w:lang w:val="en-US"/>
        </w:rPr>
      </w:pPr>
      <w:r>
        <w:rPr>
          <w:lang w:val="en-US"/>
        </w:rPr>
      </w:r>
    </w:p>
    <w:p>
      <w:pPr>
        <w:pStyle w:val="SUBHEAD"/>
        <w:numPr>
          <w:ilvl w:val="0"/>
          <w:numId w:val="14"/>
        </w:numPr>
        <w:rPr>
          <w:lang w:val="en-US"/>
        </w:rPr>
      </w:pPr>
      <w:r>
        <w:br w:type="column"/>
      </w:r>
      <w:r>
        <w:rPr>
          <w:lang w:val="en-US"/>
        </w:rPr>
        <w:t>Rating Rationale</w:t>
      </w:r>
    </w:p>
    <w:p>
      <w:pPr>
        <w:pStyle w:val="Normal"/>
        <w:rPr>
          <w:spacing w:val="-1"/>
        </w:rPr>
      </w:pPr>
      <w:r>
        <w:rPr>
          <w:spacing w:val="-1"/>
        </w:rPr>
        <w:t>Northern Natural Gas Co. (NNG) rating was downgraded to reflect the weakened credit profile of Enron. An additional rating consideration is the structural subordination unsecured lenders have to a new secured credit facility.</w:t>
      </w:r>
    </w:p>
    <w:p>
      <w:pPr>
        <w:pStyle w:val="Normal"/>
        <w:rPr>
          <w:spacing w:val="-1"/>
        </w:rPr>
      </w:pPr>
      <w:r>
        <w:rPr>
          <w:spacing w:val="-1"/>
        </w:rPr>
        <w:t xml:space="preserve">On a standalone basis NNG benefits from a strong financial profile and a solid market position. EBITDA-to-interest coverage is solid at nearly 7.0 times (x). NNG also benefits from stable and consistent cash flows from long-term contracts. NNG’s financial profile is supported by its solid supply position with interconnections to four major pipelines, allowing access to gas supplies in mid-continent and southwest U.S. fields. The company further benefits from a strong market position in the upper Midwest market, with access to major cities, including Omaha, Neb., Des Moines, Iowa, and Minneapolis/St. Paul. </w:t>
      </w:r>
    </w:p>
    <w:p>
      <w:pPr>
        <w:pStyle w:val="Normal"/>
        <w:rPr/>
      </w:pPr>
      <w:r>
        <w:rPr/>
        <w:t>NNG’s customer base is primarily composed of local utilities, which have a large demand for natural gas with limited options for alternative fuels. The explosive growth in new gas-fired generation facilities in the Midwest region bodes well for continued throughput growth. Bypass load-loss from recent expansion toward the east end of the system has been mitigated by effective cost-control measures, market initiatives and the high seasonal load factor throughput.</w:t>
      </w:r>
    </w:p>
    <w:p>
      <w:pPr>
        <w:pStyle w:val="LASTPARAGRAPH"/>
        <w:rPr/>
      </w:pPr>
      <w:r>
        <w:rPr/>
        <w:t xml:space="preserve">Within the past five years, NNG has made substantial efforts to expand its pipeline capacity. In 1996, the company began an expansion project designed to </w:t>
      </w:r>
      <w:r>
        <w:rPr>
          <w:highlight w:val="yellow"/>
        </w:rPr>
        <w:t>increase peak day for transportation service</w:t>
      </w:r>
      <w:r>
        <w:rPr/>
        <w:t xml:space="preserve"> by approximately 347MMbtu/d between 1997–2001. The project is concentrated in the upper Midwest markets in Nebraska, Iowa, South Dakota, Minnesota and Wisconsin. The firm new capacity is under long-term contracts that expire from 2002–2006. </w:t>
      </w:r>
    </w:p>
    <w:p>
      <w:pPr>
        <w:pStyle w:val="SUBHEAD"/>
        <w:numPr>
          <w:ilvl w:val="0"/>
          <w:numId w:val="15"/>
        </w:numPr>
        <w:rPr>
          <w:lang w:val="en-US"/>
        </w:rPr>
      </w:pPr>
      <w:r>
        <w:rPr>
          <w:lang w:val="en-US"/>
        </w:rPr>
        <w:t>Recent Developments</w:t>
      </w:r>
    </w:p>
    <w:p>
      <w:pPr>
        <w:pStyle w:val="LASTPARAGRAPH"/>
        <w:rPr/>
      </w:pPr>
      <w:r>
        <w:rPr/>
        <w:t>On November 5, 2001, the senior debt ratings of Enron and NNG were lowered to ‘BBB- and placed on Rating Watch Negative. On November 9, 2001, following the announced agreement to merge Enron and Dynegy Inc., Fitch changed the Rating Watch for both companies to Evolving. Under the terms of the merger agreement, Dynegy would have the option to own NNG should the merger be terminated.</w:t>
      </w:r>
    </w:p>
    <w:p>
      <w:pPr>
        <w:pStyle w:val="SUBHEAD"/>
        <w:numPr>
          <w:ilvl w:val="0"/>
          <w:numId w:val="15"/>
        </w:numPr>
        <w:rPr>
          <w:lang w:val="en-US"/>
        </w:rPr>
      </w:pPr>
      <w:r>
        <w:rPr>
          <w:lang w:val="en-US"/>
        </w:rPr>
        <w:t>Liquidity Structure</w:t>
      </w:r>
    </w:p>
    <w:p>
      <w:pPr>
        <w:pStyle w:val="Normal"/>
        <w:rPr/>
      </w:pPr>
      <w:r>
        <w:rPr/>
        <w:t>The company’s balance sheet has historically been extremely strong, with debt-to-capital at 32% as of June 30, 2001. However, in order to provide additional liquidity for Enron, NNG negotiated a $450 million credit facility secured by NNG’s capital stock, a subordinated note from Enron to NNG, and substantially all the other assets of NNG.</w:t>
      </w:r>
    </w:p>
    <w:p>
      <w:pPr>
        <w:pStyle w:val="BULLET"/>
        <w:numPr>
          <w:ilvl w:val="0"/>
          <w:numId w:val="0"/>
        </w:numPr>
        <w:ind w:hanging="360" w:start="360" w:end="0"/>
        <w:rPr>
          <w:lang w:val="en-US"/>
        </w:rPr>
      </w:pPr>
      <w:r>
        <w:rPr>
          <w:lang w:val="en-US"/>
        </w:rPr>
      </w:r>
    </w:p>
    <w:p>
      <w:pPr>
        <w:sectPr>
          <w:type w:val="continuous"/>
          <w:pgSz w:w="12240" w:h="15840"/>
          <w:pgMar w:left="1440" w:right="1440" w:gutter="0" w:header="720" w:top="1440" w:footer="720" w:bottom="1440"/>
          <w:cols w:num="2" w:equalWidth="false" w:sep="false">
            <w:col w:w="3370" w:space="272"/>
            <w:col w:w="5717"/>
          </w:cols>
          <w:formProt w:val="false"/>
          <w:titlePg/>
          <w:textDirection w:val="lrTb"/>
          <w:docGrid w:type="default" w:linePitch="360" w:charSpace="0"/>
        </w:sectPr>
      </w:pPr>
    </w:p>
    <w:p>
      <w:pPr>
        <w:pStyle w:val="Normal"/>
        <w:rPr>
          <w:spacing w:val="-4"/>
          <w:lang w:val="en-US"/>
        </w:rPr>
      </w:pPr>
      <w:r>
        <w:rPr>
          <w:spacing w:val="-4"/>
          <w:lang w:val="en-US"/>
        </w:rPr>
      </w:r>
    </w:p>
    <w:p>
      <w:pPr>
        <w:pStyle w:val="Normal"/>
        <w:rPr>
          <w:spacing w:val="-4"/>
        </w:rPr>
      </w:pPr>
      <w:r>
        <w:rPr>
          <w:spacing w:val="-4"/>
        </w:rPr>
      </w:r>
    </w:p>
    <w:p>
      <w:pPr>
        <w:sectPr>
          <w:headerReference w:type="even" r:id="rId8"/>
          <w:headerReference w:type="default" r:id="rId9"/>
          <w:footerReference w:type="even" r:id="rId10"/>
          <w:footerReference w:type="default" r:id="rId11"/>
          <w:type w:val="nextPage"/>
          <w:pgSz w:w="12240" w:h="15840"/>
          <w:pgMar w:left="1440" w:right="1440" w:gutter="0" w:header="720" w:top="1440" w:footer="720" w:bottom="1440"/>
          <w:pgNumType w:fmt="decimal"/>
          <w:cols w:num="2" w:space="720" w:equalWidth="true" w:sep="false"/>
          <w:formProt w:val="false"/>
          <w:textDirection w:val="lrTb"/>
          <w:docGrid w:type="default" w:linePitch="360" w:charSpace="0"/>
        </w:sectPr>
      </w:pPr>
    </w:p>
    <w:p>
      <w:pPr>
        <w:pStyle w:val="Footer"/>
        <w:tabs>
          <w:tab w:val="clear" w:pos="4320"/>
          <w:tab w:val="clear" w:pos="8640"/>
        </w:tabs>
        <w:rPr>
          <w:spacing w:val="-4"/>
          <w:lang w:val="en-CA" w:eastAsia="en-CA"/>
        </w:rPr>
      </w:pPr>
      <w:r>
        <w:rPr>
          <w:spacing w:val="-4"/>
          <w:lang w:val="en-CA" w:eastAsia="en-CA"/>
        </w:rPr>
      </w:r>
      <w:r>
        <mc:AlternateContent>
          <mc:Choice Requires="wps">
            <w:drawing>
              <wp:anchor behindDoc="0" distT="91440" distB="91440" distL="114935" distR="114935" simplePos="0" locked="0" layoutInCell="0" allowOverlap="1" relativeHeight="9">
                <wp:simplePos x="0" y="0"/>
                <wp:positionH relativeFrom="page">
                  <wp:posOffset>905510</wp:posOffset>
                </wp:positionH>
                <wp:positionV relativeFrom="page">
                  <wp:posOffset>8050530</wp:posOffset>
                </wp:positionV>
                <wp:extent cx="5943600" cy="1050925"/>
                <wp:effectExtent l="0" t="0" r="0" b="0"/>
                <wp:wrapTopAndBottom/>
                <wp:docPr id="10" name="Frame2"/>
                <a:graphic xmlns:a="http://schemas.openxmlformats.org/drawingml/2006/main">
                  <a:graphicData uri="http://schemas.microsoft.com/office/word/2010/wordprocessingShape">
                    <wps:wsp>
                      <wps:cNvSpPr txBox="1"/>
                      <wps:spPr>
                        <a:xfrm>
                          <a:off x="0" y="0"/>
                          <a:ext cx="5943600" cy="1050925"/>
                        </a:xfrm>
                        <a:prstGeom prst="rect"/>
                        <a:solidFill>
                          <a:srgbClr val="FFFFFF"/>
                        </a:solidFill>
                      </wps:spPr>
                      <wps:txbx>
                        <w:txbxContent>
                          <w:p>
                            <w:pPr>
                              <w:pStyle w:val="COPYRIGHT"/>
                              <w:rPr/>
                            </w:pPr>
                            <w:r>
                              <w:rPr/>
                              <w:t>Copyright © 2001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wps:txbx>
                      <wps:bodyPr anchor="t" lIns="635" tIns="635" rIns="635" bIns="635">
                        <a:noAutofit/>
                      </wps:bodyPr>
                    </wps:wsp>
                  </a:graphicData>
                </a:graphic>
              </wp:anchor>
            </w:drawing>
          </mc:Choice>
          <mc:Fallback>
            <w:pict>
              <v:rect fillcolor="#FFFFFF" style="position:absolute;rotation:-0;width:468pt;height:82.75pt;mso-wrap-distance-left:9.05pt;mso-wrap-distance-right:9.05pt;mso-wrap-distance-top:7.2pt;mso-wrap-distance-bottom:7.2pt;margin-top:633.9pt;mso-position-vertical-relative:page;margin-left:71.3pt;mso-position-horizontal-relative:page">
                <v:textbox inset="0.000694444444444445in,0.000694444444444445in,0.000694444444444445in,0.000694444444444445in">
                  <w:txbxContent>
                    <w:p>
                      <w:pPr>
                        <w:pStyle w:val="COPYRIGHT"/>
                        <w:rPr/>
                      </w:pPr>
                      <w:r>
                        <w:rPr/>
                        <w:t>Copyright © 2001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v:textbox>
                <w10:wrap type="topAndBottom"/>
              </v:rect>
            </w:pict>
          </mc:Fallback>
        </mc:AlternateContent>
      </w:r>
    </w:p>
    <w:p>
      <w:pPr>
        <w:pStyle w:val="Normal"/>
        <w:spacing w:before="0" w:after="240"/>
        <w:rPr>
          <w:lang w:eastAsia="en-CA"/>
        </w:rPr>
      </w:pPr>
      <w:r>
        <w:rPr>
          <w:lang w:eastAsia="en-CA"/>
        </w:rPr>
      </w:r>
    </w:p>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Arial Black">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Univers 55">
    <w:charset w:val="00" w:characterSet="windows-1252"/>
    <w:family w:val="swiss"/>
    <w:pitch w:val="variable"/>
  </w:font>
  <w:font w:name="TimesNewRomanP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EVENPAGE"/>
      <w:pBdr/>
      <w:spacing w:before="80" w:after="40"/>
      <w:rPr/>
    </w:pPr>
    <w:r>
      <w:rPr/>
      <mc:AlternateContent>
        <mc:Choice Requires="wps">
          <w:drawing>
            <wp:anchor behindDoc="1" distT="0" distB="0" distL="114935" distR="114935" simplePos="0" locked="0" layoutInCell="1" allowOverlap="1" relativeHeight="3">
              <wp:simplePos x="0" y="0"/>
              <wp:positionH relativeFrom="column">
                <wp:posOffset>-13970</wp:posOffset>
              </wp:positionH>
              <wp:positionV relativeFrom="paragraph">
                <wp:posOffset>1905</wp:posOffset>
              </wp:positionV>
              <wp:extent cx="5967095" cy="0"/>
              <wp:effectExtent l="0" t="3175" r="0" b="3175"/>
              <wp:wrapNone/>
              <wp:docPr id="5" name=""/>
              <a:graphic xmlns:a="http://schemas.openxmlformats.org/drawingml/2006/main">
                <a:graphicData uri="http://schemas.microsoft.com/office/word/2010/wordprocessingShape">
                  <wps:wsp>
                    <wps:cNvSpPr/>
                    <wps:spPr>
                      <a:xfrm>
                        <a:off x="0" y="0"/>
                        <a:ext cx="59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7pt,0.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
              <wp:simplePos x="0" y="0"/>
              <wp:positionH relativeFrom="column">
                <wp:posOffset>-13970</wp:posOffset>
              </wp:positionH>
              <wp:positionV relativeFrom="paragraph">
                <wp:posOffset>1905</wp:posOffset>
              </wp:positionV>
              <wp:extent cx="5962650" cy="0"/>
              <wp:effectExtent l="0" t="3810" r="0" b="3175"/>
              <wp:wrapNone/>
              <wp:docPr id="6" name=""/>
              <a:graphic xmlns:a="http://schemas.openxmlformats.org/drawingml/2006/main">
                <a:graphicData uri="http://schemas.microsoft.com/office/word/2010/wordprocessingShape">
                  <wps:wsp>
                    <wps:cNvSpPr/>
                    <wps:spPr>
                      <a:xfrm>
                        <a:off x="0" y="0"/>
                        <a:ext cx="5962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35pt,0.15pt" stroked="t" o:allowincell="f" style="position:absolute">
              <v:stroke color="black" weight="6480" joinstyle="miter" endcap="flat"/>
              <v:fill o:detectmouseclick="t" on="false"/>
              <w10:wrap type="none"/>
            </v:line>
          </w:pict>
        </mc:Fallback>
      </mc:AlternateContent>
    </w:r>
  </w:p>
  <w:p>
    <w:pPr>
      <w:pStyle w:val="FOOTEREVENPAGE"/>
      <w:spacing w:before="80" w:after="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Univers 55" w:hAnsi="Univers 55" w:cs="Univers 55"/>
        <w:b/>
        <w:sz w:val="18"/>
      </w:rPr>
    </w:pPr>
    <w:r>
      <w:rPr>
        <w:rFonts w:cs="Univers 55" w:ascii="Univers 55" w:hAnsi="Univers 55"/>
        <w:b/>
        <w:sz w:val="18"/>
      </w:rPr>
      <w:t>{Date}</w:t>
    </w:r>
    <w:r>
      <mc:AlternateContent>
        <mc:Choice Requires="wps">
          <w:drawing>
            <wp:anchor behindDoc="1" distT="0" distB="0" distL="114935" distR="114935" simplePos="0" locked="0" layoutInCell="1" allowOverlap="1" relativeHeight="0">
              <wp:simplePos x="0" y="0"/>
              <wp:positionH relativeFrom="column">
                <wp:posOffset>4105275</wp:posOffset>
              </wp:positionH>
              <wp:positionV relativeFrom="paragraph">
                <wp:posOffset>93980</wp:posOffset>
              </wp:positionV>
              <wp:extent cx="1901190" cy="600075"/>
              <wp:effectExtent l="0" t="0" r="0" b="0"/>
              <wp:wrapNone/>
              <wp:docPr id="7" name="Frame3"/>
              <a:graphic xmlns:a="http://schemas.openxmlformats.org/drawingml/2006/main">
                <a:graphicData uri="http://schemas.microsoft.com/office/word/2010/wordprocessingShape">
                  <wps:wsp>
                    <wps:cNvSpPr txBox="1"/>
                    <wps:spPr>
                      <a:xfrm>
                        <a:off x="0" y="0"/>
                        <a:ext cx="1901190" cy="600075"/>
                      </a:xfrm>
                      <a:prstGeom prst="rect"/>
                      <a:solidFill>
                        <a:srgbClr val="FFFFFF"/>
                      </a:solidFill>
                      <a:ln w="9525">
                        <a:solidFill>
                          <a:srgbClr val="000000"/>
                        </a:solidFill>
                      </a:ln>
                    </wps:spPr>
                    <wps:txb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49.7pt;height:47.25pt;mso-wrap-distance-left:9.05pt;mso-wrap-distance-right:9.05pt;mso-wrap-distance-top:0pt;mso-wrap-distance-bottom:0pt;margin-top:7.4pt;mso-position-vertical-relative:text;margin-left:323.25pt;mso-position-horizontal-relative:text">
              <v:textbo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v:textbox>
              <w10:wrap type="none"/>
            </v:rect>
          </w:pict>
        </mc:Fallback>
      </mc:AlternateContent>
    </w:r>
  </w:p>
  <w:p>
    <w:pPr>
      <w:pStyle w:val="Footer"/>
      <w:rPr>
        <w:rFonts w:ascii="Univers 55" w:hAnsi="Univers 55" w:cs="Univers 55"/>
        <w:b/>
        <w:sz w:val="18"/>
        <w:lang w:val="en-CA"/>
      </w:rPr>
    </w:pPr>
    <w:r>
      <w:rPr>
        <w:rFonts w:cs="Univers 55" w:ascii="Univers 55" w:hAnsi="Univers 55"/>
        <w:b/>
        <w:sz w:val="18"/>
        <w:lang w:val="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54610</wp:posOffset>
              </wp:positionV>
              <wp:extent cx="5943600" cy="0"/>
              <wp:effectExtent l="0" t="5080" r="0" b="5080"/>
              <wp:wrapNone/>
              <wp:docPr id="8"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3pt" to="467.95pt,4.3pt" stroked="t" o:allowincell="f" style="position:absolute">
              <v:stroke color="black" weight="9360" joinstyle="miter" endcap="flat"/>
              <v:fill o:detectmouseclick="t" on="false"/>
              <w10:wrap type="none"/>
            </v:line>
          </w:pict>
        </mc:Fallback>
      </mc:AlternateContent>
    </w:r>
  </w:p>
  <w:p>
    <w:pPr>
      <w:pStyle w:val="Footer"/>
      <w:spacing w:before="0" w:after="240"/>
      <w:jc w:val="center"/>
      <w:rPr>
        <w:rFonts w:ascii="Univers 55" w:hAnsi="Univers 55" w:cs="Univers 55"/>
        <w:sz w:val="16"/>
      </w:rPr>
    </w:pPr>
    <w:r>
      <w:rPr>
        <w:rFonts w:cs="Univers 55" w:ascii="Univers 55" w:hAnsi="Univers 55"/>
        <w:sz w:val="16"/>
      </w:rPr>
      <w:t>www.fitchibca.com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ATETEXT"/>
      <w:rPr/>
    </w:pPr>
    <w:r>
      <w:rPr/>
      <w:t>September 28, 2001</w:t>
    </w:r>
  </w:p>
  <w:p>
    <w:pPr>
      <w:pStyle w:val="DISCLAIMER1"/>
      <w:widowControl/>
      <w:pBdr>
        <w:top w:val="single" w:sz="4" w:space="4" w:color="000000"/>
      </w:pBdr>
      <w:bidi w:val="0"/>
      <w:spacing w:before="0" w:after="160"/>
      <w:jc w:val="center"/>
      <w:rPr/>
    </w:pPr>
    <w:r>
      <w:rPr/>
      <w:t>www.fitchratings.com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ODDPAGE"/>
      <w:spacing w:before="80" w:after="40"/>
      <w:jc w:val="end"/>
      <w:rPr/>
    </w:pPr>
    <w:r>
      <w:rPr/>
      <mc:AlternateContent>
        <mc:Choice Requires="wps">
          <w:drawing>
            <wp:anchor behindDoc="1" distT="0" distB="0" distL="114935" distR="114935" simplePos="0" locked="0" layoutInCell="1" allowOverlap="1" relativeHeight="7">
              <wp:simplePos x="0" y="0"/>
              <wp:positionH relativeFrom="column">
                <wp:posOffset>-13970</wp:posOffset>
              </wp:positionH>
              <wp:positionV relativeFrom="paragraph">
                <wp:posOffset>1905</wp:posOffset>
              </wp:positionV>
              <wp:extent cx="5960745" cy="1270"/>
              <wp:effectExtent l="635" t="3175" r="635" b="3175"/>
              <wp:wrapNone/>
              <wp:docPr id="9" name=""/>
              <a:graphic xmlns:a="http://schemas.openxmlformats.org/drawingml/2006/main">
                <a:graphicData uri="http://schemas.microsoft.com/office/word/2010/wordprocessingShape">
                  <wps:wsp>
                    <wps:cNvSpPr/>
                    <wps:spPr>
                      <a:xfrm>
                        <a:off x="0" y="0"/>
                        <a:ext cx="596088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2pt,0.2pt" stroked="t" o:allowincell="f" style="position:absolute">
              <v:stroke color="black" weight="6480" joinstyle="miter" endcap="flat"/>
              <v:fill o:detectmouseclick="t" on="false"/>
              <w10:wrap type="none"/>
            </v:line>
          </w:pict>
        </mc:Fallback>
      </mc:AlternateContent>
    </w:r>
  </w:p>
  <w:p>
    <w:pPr>
      <w:pStyle w:val="FOOTERODDPAGE"/>
      <w:spacing w:before="80" w:after="40"/>
      <w:jc w:val="center"/>
      <w:rPr/>
    </w:pPr>
    <w:r>
      <w:rPr>
        <w:rStyle w:val="PageNumber"/>
        <w:color w:val="000000"/>
        <w:lang w:val="en-US" w:eastAsia="en-US"/>
      </w:rPr>
      <w:fldChar w:fldCharType="begin"/>
    </w:r>
    <w:r>
      <w:rPr>
        <w:rStyle w:val="PageNumber"/>
        <w:color w:val="000000"/>
        <w:lang w:val="en-US" w:eastAsia="en-US"/>
      </w:rPr>
      <w:instrText xml:space="preserve"> PAGE </w:instrText>
    </w:r>
    <w:r>
      <w:rPr>
        <w:rStyle w:val="PageNumber"/>
        <w:color w:val="000000"/>
        <w:lang w:val="en-US" w:eastAsia="en-US"/>
      </w:rPr>
      <w:fldChar w:fldCharType="separate"/>
    </w:r>
    <w:r>
      <w:rPr>
        <w:rStyle w:val="PageNumber"/>
        <w:color w:val="000000"/>
        <w:lang w:val="en-US" w:eastAsia="en-US"/>
      </w:rPr>
      <w:t>3</w:t>
    </w:r>
    <w:r>
      <w:rPr>
        <w:rStyle w:val="PageNumber"/>
        <w:color w:val="000000"/>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0" allowOverlap="1" relativeHeight="8">
          <wp:simplePos x="0" y="0"/>
          <wp:positionH relativeFrom="column">
            <wp:posOffset>-27305</wp:posOffset>
          </wp:positionH>
          <wp:positionV relativeFrom="paragraph">
            <wp:posOffset>635</wp:posOffset>
          </wp:positionV>
          <wp:extent cx="1069975" cy="567055"/>
          <wp:effectExtent l="0" t="0" r="0" b="0"/>
          <wp:wrapTopAndBottom/>
          <wp:docPr id="2"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bw" descr="" title=""/>
                  <pic:cNvPicPr>
                    <a:picLocks noChangeAspect="1" noChangeArrowheads="1"/>
                  </pic:cNvPicPr>
                </pic:nvPicPr>
                <pic:blipFill>
                  <a:blip r:embed="rId1"/>
                  <a:srcRect l="-7" t="-14" r="-7" b="-14"/>
                  <a:stretch>
                    <a:fillRect/>
                  </a:stretch>
                </pic:blipFill>
                <pic:spPr bwMode="auto">
                  <a:xfrm>
                    <a:off x="0" y="0"/>
                    <a:ext cx="1069975" cy="567055"/>
                  </a:xfrm>
                  <a:prstGeom prst="rect">
                    <a:avLst/>
                  </a:prstGeom>
                  <a:noFill/>
                </pic:spPr>
              </pic:pic>
            </a:graphicData>
          </a:graphic>
        </wp:anchor>
      </w:drawing>
    </w:r>
  </w:p>
  <w:p>
    <w:pPr>
      <w:pStyle w:val="HEADER2"/>
      <w:pBdr>
        <w:bottom w:val="single" w:sz="4" w:space="12" w:color="000000"/>
      </w:pBdr>
      <w:spacing w:before="40" w:after="240"/>
      <w:jc w:val="end"/>
      <w:rPr/>
    </w:pPr>
    <w:r>
      <w:rPr/>
      <w:t>Corporates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1" allowOverlap="1" relativeHeight="0">
          <wp:simplePos x="0" y="0"/>
          <wp:positionH relativeFrom="column">
            <wp:posOffset>-27305</wp:posOffset>
          </wp:positionH>
          <wp:positionV relativeFrom="paragraph">
            <wp:posOffset>635</wp:posOffset>
          </wp:positionV>
          <wp:extent cx="1069975" cy="567055"/>
          <wp:effectExtent l="0" t="0" r="0" b="0"/>
          <wp:wrapTopAndBottom/>
          <wp:docPr id="3"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0bw" descr="" title=""/>
                  <pic:cNvPicPr>
                    <a:picLocks noChangeAspect="1" noChangeArrowheads="1"/>
                  </pic:cNvPicPr>
                </pic:nvPicPr>
                <pic:blipFill>
                  <a:blip r:embed="rId1"/>
                  <a:stretch>
                    <a:fillRect/>
                  </a:stretch>
                </pic:blipFill>
                <pic:spPr bwMode="auto">
                  <a:xfrm>
                    <a:off x="0" y="0"/>
                    <a:ext cx="1069975" cy="567055"/>
                  </a:xfrm>
                  <a:prstGeom prst="rect">
                    <a:avLst/>
                  </a:prstGeom>
                </pic:spPr>
              </pic:pic>
            </a:graphicData>
          </a:graphic>
        </wp:anchor>
      </w:drawing>
    </w:r>
  </w:p>
  <w:p>
    <w:pPr>
      <w:pStyle w:val="HEADER2"/>
      <w:pBdr>
        <w:bottom w:val="single" w:sz="4" w:space="12" w:color="000000"/>
      </w:pBdr>
      <w:spacing w:before="40" w:after="240"/>
      <w:jc w:val="end"/>
      <w:rPr/>
    </w:pPr>
    <w:r>
      <w:rPr/>
      <w:t>Corporates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0" allowOverlap="1" relativeHeight="6">
          <wp:simplePos x="0" y="0"/>
          <wp:positionH relativeFrom="column">
            <wp:posOffset>-27305</wp:posOffset>
          </wp:positionH>
          <wp:positionV relativeFrom="paragraph">
            <wp:posOffset>635</wp:posOffset>
          </wp:positionV>
          <wp:extent cx="1069975" cy="567055"/>
          <wp:effectExtent l="0" t="0" r="0" b="0"/>
          <wp:wrapTopAndBottom/>
          <wp:docPr id="4"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bw" descr="" title=""/>
                  <pic:cNvPicPr>
                    <a:picLocks noChangeAspect="1" noChangeArrowheads="1"/>
                  </pic:cNvPicPr>
                </pic:nvPicPr>
                <pic:blipFill>
                  <a:blip r:embed="rId1"/>
                  <a:srcRect l="-7" t="-14" r="-7" b="-14"/>
                  <a:stretch>
                    <a:fillRect/>
                  </a:stretch>
                </pic:blipFill>
                <pic:spPr bwMode="auto">
                  <a:xfrm>
                    <a:off x="0" y="0"/>
                    <a:ext cx="1069975" cy="567055"/>
                  </a:xfrm>
                  <a:prstGeom prst="rect">
                    <a:avLst/>
                  </a:prstGeom>
                  <a:noFill/>
                </pic:spPr>
              </pic:pic>
            </a:graphicData>
          </a:graphic>
        </wp:anchor>
      </w:drawing>
    </w:r>
  </w:p>
  <w:p>
    <w:pPr>
      <w:pStyle w:val="HEADER2"/>
      <w:pBdr>
        <w:bottom w:val="single" w:sz="4" w:space="12" w:color="000000"/>
      </w:pBdr>
      <w:spacing w:before="40" w:after="240"/>
      <w:jc w:val="end"/>
      <w:rPr/>
    </w:pPr>
    <w:r>
      <w:rPr/>
      <w:t>Corporates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216" w:hanging="216"/>
      </w:pPr>
      <w:rPr>
        <w:rFonts w:ascii="Symbol" w:hAnsi="Symbol" w:cs="Symbol" w:hint="default"/>
      </w:rPr>
    </w:lvl>
  </w:abstractNum>
  <w:abstractNum w:abstractNumId="14">
    <w:lvl w:ilvl="0">
      <w:start w:val="1"/>
      <w:numFmt w:val="bullet"/>
      <w:lvlText w:val=""/>
      <w:lvlJc w:val="start"/>
      <w:pPr>
        <w:tabs>
          <w:tab w:val="num" w:pos="360"/>
        </w:tabs>
        <w:ind w:start="72" w:hanging="72"/>
      </w:pPr>
      <w:rPr>
        <w:rFonts w:ascii="Monotype Sorts" w:hAnsi="Monotype Sorts" w:cs="Monotype Sorts" w:hint="default"/>
        <w:smallCaps w:val="false"/>
        <w:caps w:val="false"/>
        <w:outline w:val="false"/>
        <w:dstrike w:val="false"/>
        <w:strike w:val="false"/>
        <w:vertAlign w:val="baseline"/>
        <w:position w:val="0"/>
        <w:sz w:val="20"/>
        <w:sz w:val="20"/>
        <w:shadow w:val="false"/>
        <w:vanish w:val="false"/>
        <w:color w:val="auto"/>
      </w:rPr>
    </w:lvl>
  </w:abstractNum>
  <w:abstractNum w:abstractNumId="15">
    <w:lvl w:ilvl="0">
      <w:numFmt w:val="bullet"/>
      <w:lvlText w:val=""/>
      <w:lvlJc w:val="start"/>
      <w:pPr>
        <w:tabs>
          <w:tab w:val="num" w:pos="360"/>
        </w:tabs>
        <w:ind w:start="360" w:hanging="360"/>
      </w:pPr>
      <w:rPr>
        <w:rFonts w:ascii="Monotype Sorts" w:hAnsi="Monotype Sorts" w:cs="Monotype Sorts" w:hint="default"/>
        <w:dstrike w:val="false"/>
        <w:strike w:val="false"/>
        <w:sz w:val="20"/>
      </w:rPr>
    </w:lvl>
  </w:abstractNum>
  <w:abstractNum w:abstractNumId="1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000000"/>
      <w:sz w:val="20"/>
      <w:szCs w:val="20"/>
      <w:lang w:val="en-US" w:eastAsia="en-US" w:bidi="hi-IN"/>
    </w:rPr>
  </w:style>
  <w:style w:type="paragraph" w:styleId="Heading1">
    <w:name w:val="heading 1"/>
    <w:basedOn w:val="Normal"/>
    <w:next w:val="Normal"/>
    <w:qFormat/>
    <w:pPr>
      <w:keepNext w:val="true"/>
      <w:numPr>
        <w:ilvl w:val="0"/>
        <w:numId w:val="1"/>
      </w:numPr>
      <w:spacing w:before="0" w:after="240"/>
      <w:jc w:val="both"/>
      <w:outlineLvl w:val="0"/>
    </w:pPr>
    <w:rPr>
      <w:b/>
      <w:color w:val="000000"/>
      <w:lang w:eastAsia="en-US"/>
    </w:rPr>
  </w:style>
  <w:style w:type="paragraph" w:styleId="Heading2">
    <w:name w:val="heading 2"/>
    <w:basedOn w:val="Normal"/>
    <w:next w:val="Normal"/>
    <w:qFormat/>
    <w:pPr>
      <w:keepNext w:val="true"/>
      <w:numPr>
        <w:ilvl w:val="1"/>
        <w:numId w:val="1"/>
      </w:numPr>
      <w:spacing w:before="0" w:after="240"/>
      <w:ind w:hanging="0" w:start="0" w:end="864"/>
      <w:jc w:val="both"/>
      <w:outlineLvl w:val="1"/>
    </w:pPr>
    <w:rPr>
      <w:color w:val="000000"/>
      <w:lang w:eastAsia="en-US"/>
    </w:rPr>
  </w:style>
  <w:style w:type="paragraph" w:styleId="Heading3">
    <w:name w:val="heading 3"/>
    <w:basedOn w:val="Normal"/>
    <w:next w:val="Normal"/>
    <w:qFormat/>
    <w:pPr>
      <w:keepNext w:val="true"/>
      <w:numPr>
        <w:ilvl w:val="2"/>
        <w:numId w:val="1"/>
      </w:numPr>
      <w:spacing w:before="240" w:after="60"/>
      <w:jc w:val="both"/>
      <w:outlineLvl w:val="2"/>
    </w:pPr>
    <w:rPr>
      <w:rFonts w:ascii="Arial" w:hAnsi="Arial" w:cs="Arial"/>
      <w:color w:val="000000"/>
      <w:lang w:eastAsia="en-U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Monotype Sorts" w:hAnsi="Monotype Sorts" w:cs="Monotype Sorts"/>
      <w:caps w:val="false"/>
      <w:smallCaps w:val="false"/>
      <w:strike w:val="false"/>
      <w:dstrike w:val="false"/>
      <w:outline w:val="false"/>
      <w:shadow w:val="false"/>
      <w:vanish w:val="false"/>
      <w:color w:val="auto"/>
      <w:position w:val="0"/>
      <w:sz w:val="20"/>
      <w:sz w:val="20"/>
      <w:vertAlign w:val="baselin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Monotype Sorts" w:hAnsi="Monotype Sorts" w:cs="Monotype Sorts"/>
      <w:caps w:val="false"/>
      <w:smallCaps w:val="false"/>
      <w:strike w:val="false"/>
      <w:dstrike w:val="false"/>
      <w:outline w:val="false"/>
      <w:shadow w:val="false"/>
      <w:vanish w:val="false"/>
      <w:color w:val="auto"/>
      <w:position w:val="0"/>
      <w:sz w:val="20"/>
      <w:sz w:val="20"/>
      <w:vertAlign w:val="baselin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Monotype Sorts" w:hAnsi="Monotype Sorts" w:cs="Monotype Sorts"/>
      <w:color w:val="auto"/>
      <w:sz w:val="20"/>
    </w:rPr>
  </w:style>
  <w:style w:type="character" w:styleId="WW8NumSt17z0">
    <w:name w:val="WW8NumSt17z0"/>
    <w:qFormat/>
    <w:rPr>
      <w:rFonts w:ascii="Monotype Sorts" w:hAnsi="Monotype Sorts" w:cs="Monotype Sorts"/>
      <w:strike w:val="false"/>
      <w:dstrike w:val="false"/>
      <w:sz w:val="20"/>
    </w:rPr>
  </w:style>
  <w:style w:type="character" w:styleId="WW8NumSt18z0">
    <w:name w:val="WW8NumSt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w:hAnsi="Arial" w:cs="Arial"/>
      <w:sz w:val="16"/>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ANKNAME">
    <w:name w:val="BANKNAME"/>
    <w:qFormat/>
    <w:pPr>
      <w:widowControl/>
      <w:bidi w:val="0"/>
      <w:spacing w:before="120" w:after="0"/>
    </w:pPr>
    <w:rPr>
      <w:rFonts w:ascii="Arial Black" w:hAnsi="Arial Black" w:eastAsia="Times New Roman" w:cs="Arial Black"/>
      <w:color w:val="auto"/>
      <w:sz w:val="32"/>
      <w:szCs w:val="20"/>
      <w:lang w:val="en-CA" w:eastAsia="zh-CN" w:bidi="hi-IN"/>
    </w:rPr>
  </w:style>
  <w:style w:type="paragraph" w:styleId="BULLET">
    <w:name w:val="BULLET"/>
    <w:basedOn w:val="Normal"/>
    <w:qFormat/>
    <w:pPr>
      <w:numPr>
        <w:ilvl w:val="0"/>
        <w:numId w:val="12"/>
      </w:numPr>
      <w:spacing w:before="0" w:after="0"/>
    </w:pPr>
    <w:rPr>
      <w:lang w:val="en-CA"/>
    </w:rPr>
  </w:style>
  <w:style w:type="paragraph" w:styleId="COPYRIGHT">
    <w:name w:val="COPYRIGHT"/>
    <w:qFormat/>
    <w:pPr>
      <w:widowControl/>
      <w:bidi w:val="0"/>
      <w:jc w:val="both"/>
    </w:pPr>
    <w:rPr>
      <w:rFonts w:ascii="Times New Roman" w:hAnsi="Times New Roman" w:eastAsia="Times New Roman" w:cs="Times New Roman"/>
      <w:color w:val="auto"/>
      <w:sz w:val="12"/>
      <w:szCs w:val="20"/>
      <w:lang w:val="en-CA" w:eastAsia="zh-CN" w:bidi="hi-IN"/>
    </w:rPr>
  </w:style>
  <w:style w:type="paragraph" w:styleId="DATETEXT">
    <w:name w:val="DATE TEXT"/>
    <w:qFormat/>
    <w:pPr>
      <w:widowControl/>
      <w:bidi w:val="0"/>
      <w:spacing w:before="0" w:after="40"/>
    </w:pPr>
    <w:rPr>
      <w:rFonts w:ascii="Arial Black" w:hAnsi="Arial Black" w:eastAsia="Times New Roman" w:cs="Arial Black"/>
      <w:color w:val="auto"/>
      <w:sz w:val="18"/>
      <w:szCs w:val="20"/>
      <w:lang w:val="en-CA" w:eastAsia="zh-CN" w:bidi="hi-IN"/>
    </w:rPr>
  </w:style>
  <w:style w:type="paragraph" w:styleId="DECKRATINGS">
    <w:name w:val="DECK RATINGS"/>
    <w:qFormat/>
    <w:pPr>
      <w:widowControl/>
      <w:tabs>
        <w:tab w:val="clear" w:pos="720"/>
        <w:tab w:val="right" w:pos="3341" w:leader="dot"/>
      </w:tabs>
      <w:bidi w:val="0"/>
      <w:ind w:hanging="187" w:start="187" w:end="0"/>
    </w:pPr>
    <w:rPr>
      <w:rFonts w:ascii="Arial" w:hAnsi="Arial" w:eastAsia="Times New Roman" w:cs="Arial"/>
      <w:color w:val="auto"/>
      <w:sz w:val="14"/>
      <w:szCs w:val="20"/>
      <w:lang w:val="en-CA" w:eastAsia="zh-CN" w:bidi="hi-IN"/>
    </w:rPr>
  </w:style>
  <w:style w:type="paragraph" w:styleId="DECKSUBHEAD">
    <w:name w:val="DECK SUBHEAD"/>
    <w:qFormat/>
    <w:pPr>
      <w:widowControl/>
      <w:bidi w:val="0"/>
      <w:spacing w:before="240" w:after="0"/>
    </w:pPr>
    <w:rPr>
      <w:rFonts w:ascii="Arial Black" w:hAnsi="Arial Black" w:eastAsia="Times New Roman" w:cs="Arial Black"/>
      <w:color w:val="auto"/>
      <w:sz w:val="20"/>
      <w:szCs w:val="20"/>
      <w:lang w:val="en-US" w:eastAsia="zh-CN" w:bidi="hi-IN"/>
    </w:rPr>
  </w:style>
  <w:style w:type="paragraph" w:styleId="DECKTEXT">
    <w:name w:val="DECK TEXT"/>
    <w:qFormat/>
    <w:pPr>
      <w:widowControl/>
      <w:bidi w:val="0"/>
      <w:jc w:val="both"/>
    </w:pPr>
    <w:rPr>
      <w:rFonts w:ascii="Times New Roman" w:hAnsi="Times New Roman" w:eastAsia="Times New Roman" w:cs="Times New Roman"/>
      <w:color w:val="auto"/>
      <w:sz w:val="18"/>
      <w:szCs w:val="20"/>
      <w:lang w:val="en-CA" w:eastAsia="zh-CN" w:bidi="hi-IN"/>
    </w:rPr>
  </w:style>
  <w:style w:type="paragraph" w:styleId="DEPARTMENT">
    <w:name w:val="DEPARTMENT"/>
    <w:qFormat/>
    <w:pPr>
      <w:widowControl/>
      <w:bidi w:val="0"/>
      <w:spacing w:before="120" w:after="0"/>
    </w:pPr>
    <w:rPr>
      <w:rFonts w:ascii="Arial" w:hAnsi="Arial" w:eastAsia="Times New Roman" w:cs="Arial"/>
      <w:color w:val="auto"/>
      <w:sz w:val="24"/>
      <w:szCs w:val="20"/>
      <w:lang w:val="en-CA" w:eastAsia="zh-CN" w:bidi="hi-IN"/>
    </w:rPr>
  </w:style>
  <w:style w:type="paragraph" w:styleId="DISCLAIMER1">
    <w:name w:val="DISCLAIMER1"/>
    <w:qFormat/>
    <w:pPr>
      <w:widowControl/>
      <w:pBdr>
        <w:top w:val="single" w:sz="4" w:space="4" w:color="000000"/>
      </w:pBdr>
      <w:bidi w:val="0"/>
      <w:spacing w:before="0" w:after="160"/>
      <w:jc w:val="center"/>
    </w:pPr>
    <w:rPr>
      <w:rFonts w:ascii="Arial" w:hAnsi="Arial" w:eastAsia="Times New Roman" w:cs="Arial"/>
      <w:color w:val="auto"/>
      <w:sz w:val="16"/>
      <w:szCs w:val="20"/>
      <w:lang w:val="en-CA" w:eastAsia="zh-CN" w:bidi="hi-IN"/>
    </w:rPr>
  </w:style>
  <w:style w:type="paragraph" w:styleId="DISTRIBUTION">
    <w:name w:val="DISTRIBUTION"/>
    <w:qFormat/>
    <w:pPr>
      <w:widowControl/>
      <w:bidi w:val="0"/>
      <w:spacing w:before="0" w:after="40"/>
    </w:pPr>
    <w:rPr>
      <w:rFonts w:ascii="Arial Black" w:hAnsi="Arial Black" w:eastAsia="Times New Roman" w:cs="Arial Black"/>
      <w:color w:val="auto"/>
      <w:sz w:val="16"/>
      <w:szCs w:val="20"/>
      <w:lang w:val="en-CA" w:eastAsia="zh-CN" w:bidi="hi-IN"/>
    </w:rPr>
  </w:style>
  <w:style w:type="paragraph" w:styleId="EDITOR">
    <w:name w:val="EDITOR"/>
    <w:qFormat/>
    <w:pPr>
      <w:widowControl/>
      <w:bidi w:val="0"/>
    </w:pPr>
    <w:rPr>
      <w:rFonts w:ascii="Times New Roman" w:hAnsi="Times New Roman" w:eastAsia="Times New Roman" w:cs="Times New Roman"/>
      <w:color w:val="auto"/>
      <w:sz w:val="16"/>
      <w:szCs w:val="20"/>
      <w:lang w:val="en-CA"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0" w:after="240"/>
      <w:jc w:val="both"/>
    </w:pPr>
    <w:rPr>
      <w:color w:val="000000"/>
      <w:lang w:eastAsia="en-US"/>
    </w:rPr>
  </w:style>
  <w:style w:type="paragraph" w:styleId="DISCLAIMER2">
    <w:name w:val="DISCLAIMER2"/>
    <w:qFormat/>
    <w:pPr>
      <w:widowControl/>
      <w:pBdr>
        <w:top w:val="single" w:sz="4" w:space="5" w:color="000000"/>
      </w:pBdr>
      <w:bidi w:val="0"/>
      <w:spacing w:before="0" w:after="80"/>
    </w:pPr>
    <w:rPr>
      <w:rFonts w:ascii="Arial" w:hAnsi="Arial" w:eastAsia="Times New Roman" w:cs="Arial"/>
      <w:color w:val="auto"/>
      <w:sz w:val="16"/>
      <w:szCs w:val="20"/>
      <w:lang w:val="en-CA" w:eastAsia="zh-CN" w:bidi="hi-IN"/>
    </w:rPr>
  </w:style>
  <w:style w:type="paragraph" w:styleId="FOOTEREVENPAGE">
    <w:name w:val="FOOTER/EVEN PAGE"/>
    <w:basedOn w:val="DISCLAIMER2"/>
    <w:qFormat/>
    <w:pPr>
      <w:pBdr>
        <w:top w:val="nil"/>
      </w:pBdr>
      <w:tabs>
        <w:tab w:val="clear" w:pos="720"/>
        <w:tab w:val="center" w:pos="4608" w:leader="none"/>
      </w:tabs>
      <w:spacing w:before="80" w:after="40"/>
    </w:pPr>
    <w:rPr/>
  </w:style>
  <w:style w:type="paragraph" w:styleId="FOOTERODDPAGE">
    <w:name w:val="FOOTER/ODD PAGE"/>
    <w:basedOn w:val="FOOTEREVENPAGE"/>
    <w:qFormat/>
    <w:pPr>
      <w:tabs>
        <w:tab w:val="center" w:pos="4608" w:leader="none"/>
        <w:tab w:val="right" w:pos="9360" w:leader="none"/>
      </w:tabs>
      <w:jc w:val="end"/>
    </w:pPr>
    <w:rPr/>
  </w:style>
  <w:style w:type="paragraph" w:styleId="Header">
    <w:name w:val="header"/>
    <w:basedOn w:val="Normal"/>
    <w:pPr>
      <w:tabs>
        <w:tab w:val="clear" w:pos="720"/>
        <w:tab w:val="center" w:pos="4320" w:leader="none"/>
        <w:tab w:val="right" w:pos="8640" w:leader="none"/>
      </w:tabs>
      <w:spacing w:before="0" w:after="240"/>
      <w:jc w:val="both"/>
    </w:pPr>
    <w:rPr>
      <w:color w:val="000000"/>
      <w:lang w:eastAsia="en-US"/>
    </w:rPr>
  </w:style>
  <w:style w:type="paragraph" w:styleId="HEADER1">
    <w:name w:val="HEADER1"/>
    <w:qFormat/>
    <w:pPr>
      <w:widowControl/>
      <w:pBdr>
        <w:bottom w:val="single" w:sz="4" w:space="29" w:color="000000"/>
      </w:pBdr>
      <w:bidi w:val="0"/>
      <w:spacing w:before="0" w:after="240"/>
    </w:pPr>
    <w:rPr>
      <w:rFonts w:ascii="Arial" w:hAnsi="Arial" w:eastAsia="Times New Roman" w:cs="Arial"/>
      <w:color w:val="auto"/>
      <w:sz w:val="24"/>
      <w:szCs w:val="20"/>
      <w:lang w:val="en-CA" w:eastAsia="zh-CN" w:bidi="hi-IN"/>
    </w:rPr>
  </w:style>
  <w:style w:type="paragraph" w:styleId="HEADER2">
    <w:name w:val="HEADER2"/>
    <w:basedOn w:val="HEADER1"/>
    <w:qFormat/>
    <w:pPr>
      <w:pBdr>
        <w:bottom w:val="single" w:sz="4" w:space="12" w:color="000000"/>
      </w:pBdr>
      <w:spacing w:before="40" w:after="240"/>
      <w:jc w:val="end"/>
    </w:pPr>
    <w:rPr>
      <w:rFonts w:ascii="Times New Roman" w:hAnsi="Times New Roman" w:cs="Times New Roman"/>
      <w:sz w:val="48"/>
    </w:rPr>
  </w:style>
  <w:style w:type="paragraph" w:styleId="LASTPARAGRAPH">
    <w:name w:val="LAST PARAGRAPH"/>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LOGO">
    <w:name w:val="LOGO"/>
    <w:qFormat/>
    <w:pPr>
      <w:widowControl/>
      <w:bidi w:val="0"/>
    </w:pPr>
    <w:rPr>
      <w:rFonts w:ascii="Times New Roman" w:hAnsi="Times New Roman" w:eastAsia="Times New Roman" w:cs="Times New Roman"/>
      <w:color w:val="auto"/>
      <w:sz w:val="10"/>
      <w:szCs w:val="20"/>
      <w:lang w:val="en-CA" w:eastAsia="zh-CN" w:bidi="hi-IN"/>
    </w:rPr>
  </w:style>
  <w:style w:type="paragraph" w:styleId="SUBHEAD">
    <w:name w:val="SUBHEAD"/>
    <w:next w:val="Normal"/>
    <w:qFormat/>
    <w:pPr>
      <w:keepNext w:val="true"/>
      <w:widowControl/>
      <w:numPr>
        <w:ilvl w:val="0"/>
        <w:numId w:val="14"/>
      </w:numPr>
      <w:bidi w:val="0"/>
      <w:spacing w:before="240" w:after="0"/>
      <w:ind w:hanging="360" w:start="360" w:end="0"/>
    </w:pPr>
    <w:rPr>
      <w:rFonts w:ascii="Arial Black" w:hAnsi="Arial Black" w:eastAsia="Times New Roman" w:cs="Arial Black"/>
      <w:color w:val="auto"/>
      <w:sz w:val="20"/>
      <w:szCs w:val="20"/>
      <w:lang w:val="en-CA" w:eastAsia="zh-CN" w:bidi="hi-IN"/>
    </w:rPr>
  </w:style>
  <w:style w:type="paragraph" w:styleId="TBLLEFT">
    <w:name w:val="TBL LEFT"/>
    <w:qFormat/>
    <w:pPr>
      <w:widowControl/>
      <w:bidi w:val="0"/>
      <w:ind w:hanging="173" w:start="173" w:end="0"/>
    </w:pPr>
    <w:rPr>
      <w:rFonts w:ascii="Arial" w:hAnsi="Arial" w:eastAsia="Times New Roman" w:cs="Arial"/>
      <w:color w:val="auto"/>
      <w:sz w:val="16"/>
      <w:szCs w:val="20"/>
      <w:lang w:val="en-CA" w:eastAsia="zh-CN" w:bidi="hi-IN"/>
    </w:rPr>
  </w:style>
  <w:style w:type="paragraph" w:styleId="TBLSPACE">
    <w:name w:val="TBL SPACE"/>
    <w:qFormat/>
    <w:pPr>
      <w:widowControl/>
      <w:bidi w:val="0"/>
      <w:jc w:val="end"/>
    </w:pPr>
    <w:rPr>
      <w:rFonts w:ascii="Times New Roman" w:hAnsi="Times New Roman" w:eastAsia="Times New Roman" w:cs="Times New Roman"/>
      <w:color w:val="auto"/>
      <w:sz w:val="10"/>
      <w:szCs w:val="20"/>
      <w:lang w:val="en-CA" w:eastAsia="zh-CN" w:bidi="hi-IN"/>
    </w:rPr>
  </w:style>
  <w:style w:type="paragraph" w:styleId="BANKNAME1">
    <w:name w:val="BANKNAME1"/>
    <w:qFormat/>
    <w:pPr>
      <w:widowControl/>
      <w:bidi w:val="0"/>
      <w:spacing w:before="0" w:after="120"/>
    </w:pPr>
    <w:rPr>
      <w:rFonts w:ascii="Arial" w:hAnsi="Arial" w:eastAsia="Times New Roman" w:cs="Arial"/>
      <w:color w:val="auto"/>
      <w:sz w:val="28"/>
      <w:szCs w:val="20"/>
      <w:lang w:val="en-CA" w:eastAsia="zh-CN" w:bidi="hi-IN"/>
    </w:rPr>
  </w:style>
  <w:style w:type="paragraph" w:styleId="BODYTEXT1">
    <w:name w:val="BODY TEXT1"/>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BODYTEXT2">
    <w:name w:val="BODY TEXT2"/>
    <w:qFormat/>
    <w:pPr>
      <w:widowControl/>
      <w:bidi w:val="0"/>
      <w:spacing w:before="0" w:after="60"/>
      <w:jc w:val="both"/>
    </w:pPr>
    <w:rPr>
      <w:rFonts w:ascii="Times New Roman" w:hAnsi="Times New Roman" w:eastAsia="Times New Roman" w:cs="Times New Roman"/>
      <w:color w:val="auto"/>
      <w:sz w:val="20"/>
      <w:szCs w:val="20"/>
      <w:lang w:val="en-CA" w:eastAsia="zh-CN" w:bidi="hi-IN"/>
    </w:rPr>
  </w:style>
  <w:style w:type="paragraph" w:styleId="date">
    <w:name w:val="date"/>
    <w:qFormat/>
    <w:pPr>
      <w:widowControl/>
      <w:bidi w:val="0"/>
    </w:pPr>
    <w:rPr>
      <w:rFonts w:ascii="Times New Roman" w:hAnsi="Times New Roman" w:eastAsia="Times New Roman" w:cs="Times New Roman"/>
      <w:color w:val="auto"/>
      <w:sz w:val="20"/>
      <w:szCs w:val="20"/>
      <w:lang w:val="en-CA" w:eastAsia="zh-CN" w:bidi="hi-IN"/>
    </w:rPr>
  </w:style>
  <w:style w:type="paragraph" w:styleId="DECKFOOTNOTE">
    <w:name w:val="DECK FOOTNOTE"/>
    <w:qFormat/>
    <w:pPr>
      <w:widowControl/>
      <w:bidi w:val="0"/>
      <w:spacing w:before="60" w:after="0"/>
      <w:jc w:val="both"/>
    </w:pPr>
    <w:rPr>
      <w:rFonts w:ascii="Times New Roman" w:hAnsi="Times New Roman" w:eastAsia="Times New Roman" w:cs="Times New Roman"/>
      <w:color w:val="auto"/>
      <w:sz w:val="14"/>
      <w:szCs w:val="20"/>
      <w:lang w:val="en-CA" w:eastAsia="zh-CN" w:bidi="hi-IN"/>
    </w:rPr>
  </w:style>
  <w:style w:type="paragraph" w:styleId="DECKSUBHEAD1">
    <w:name w:val="DECK SUBHEAD1"/>
    <w:qFormat/>
    <w:pPr>
      <w:widowControl/>
      <w:bidi w:val="0"/>
    </w:pPr>
    <w:rPr>
      <w:rFonts w:ascii="Arial Black" w:hAnsi="Arial Black" w:eastAsia="Times New Roman" w:cs="Arial Black"/>
      <w:color w:val="auto"/>
      <w:sz w:val="18"/>
      <w:szCs w:val="20"/>
      <w:lang w:val="en-CA" w:eastAsia="zh-CN" w:bidi="hi-IN"/>
    </w:rPr>
  </w:style>
  <w:style w:type="paragraph" w:styleId="DECKSUBHEAD2">
    <w:name w:val="DECK SUBHEAD2"/>
    <w:qFormat/>
    <w:pPr>
      <w:widowControl/>
      <w:bidi w:val="0"/>
      <w:spacing w:before="120" w:after="0"/>
    </w:pPr>
    <w:rPr>
      <w:rFonts w:ascii="Arial Black" w:hAnsi="Arial Black" w:eastAsia="Times New Roman" w:cs="Arial Black"/>
      <w:color w:val="auto"/>
      <w:sz w:val="18"/>
      <w:szCs w:val="20"/>
      <w:lang w:val="en-CA" w:eastAsia="zh-CN" w:bidi="hi-IN"/>
    </w:rPr>
  </w:style>
  <w:style w:type="paragraph" w:styleId="DECKTOCSUBHEAD">
    <w:name w:val="DECK TOC SUBHEAD"/>
    <w:qFormat/>
    <w:pPr>
      <w:widowControl/>
      <w:tabs>
        <w:tab w:val="clear" w:pos="720"/>
        <w:tab w:val="right" w:pos="3168" w:leader="none"/>
      </w:tabs>
      <w:bidi w:val="0"/>
      <w:spacing w:before="240" w:after="60"/>
    </w:pPr>
    <w:rPr>
      <w:rFonts w:ascii="Arial Black" w:hAnsi="Arial Black" w:eastAsia="Times New Roman" w:cs="Arial Black"/>
      <w:color w:val="auto"/>
      <w:sz w:val="20"/>
      <w:szCs w:val="20"/>
      <w:lang w:val="en-CA" w:eastAsia="zh-CN" w:bidi="hi-IN"/>
    </w:rPr>
  </w:style>
  <w:style w:type="paragraph" w:styleId="DECKTOCSUBHEAD1">
    <w:name w:val="DECK TOC SUBHEAD1"/>
    <w:qFormat/>
    <w:pPr>
      <w:widowControl/>
      <w:tabs>
        <w:tab w:val="clear" w:pos="720"/>
        <w:tab w:val="right" w:pos="3168" w:leader="dot"/>
      </w:tabs>
      <w:bidi w:val="0"/>
      <w:spacing w:before="60" w:after="0"/>
    </w:pPr>
    <w:rPr>
      <w:rFonts w:ascii="Times New Roman" w:hAnsi="Times New Roman" w:eastAsia="Times New Roman" w:cs="Times New Roman"/>
      <w:b/>
      <w:color w:val="auto"/>
      <w:sz w:val="18"/>
      <w:szCs w:val="20"/>
      <w:lang w:val="en-CA" w:eastAsia="zh-CN" w:bidi="hi-IN"/>
    </w:rPr>
  </w:style>
  <w:style w:type="paragraph" w:styleId="DECKTOCTEXT">
    <w:name w:val="DECK TOC TEXT"/>
    <w:qFormat/>
    <w:pPr>
      <w:widowControl/>
      <w:tabs>
        <w:tab w:val="clear" w:pos="720"/>
        <w:tab w:val="right" w:pos="3168" w:leader="dot"/>
      </w:tabs>
      <w:bidi w:val="0"/>
      <w:ind w:hanging="216" w:start="216" w:end="0"/>
    </w:pPr>
    <w:rPr>
      <w:rFonts w:ascii="Times New Roman" w:hAnsi="Times New Roman" w:eastAsia="Times New Roman" w:cs="Times New Roman"/>
      <w:color w:val="auto"/>
      <w:sz w:val="18"/>
      <w:szCs w:val="20"/>
      <w:lang w:val="en-CA" w:eastAsia="zh-CN" w:bidi="hi-IN"/>
    </w:rPr>
  </w:style>
  <w:style w:type="paragraph" w:styleId="GROUPNAME">
    <w:name w:val="GROUPNAME"/>
    <w:basedOn w:val="Normal"/>
    <w:qFormat/>
    <w:pPr>
      <w:spacing w:before="0" w:after="240"/>
      <w:jc w:val="end"/>
    </w:pPr>
    <w:rPr>
      <w:color w:val="000000"/>
      <w:sz w:val="48"/>
      <w:lang w:eastAsia="en-US"/>
    </w:rPr>
  </w:style>
  <w:style w:type="paragraph" w:styleId="PAGE">
    <w:name w:val="PAGE#"/>
    <w:qFormat/>
    <w:pPr>
      <w:widowControl/>
      <w:bidi w:val="0"/>
      <w:jc w:val="center"/>
    </w:pPr>
    <w:rPr>
      <w:rFonts w:ascii="Times New Roman" w:hAnsi="Times New Roman" w:eastAsia="Times New Roman" w:cs="Times New Roman"/>
      <w:color w:val="auto"/>
      <w:sz w:val="20"/>
      <w:szCs w:val="20"/>
      <w:lang w:val="en-CA" w:eastAsia="zh-CN" w:bidi="hi-IN"/>
    </w:rPr>
  </w:style>
  <w:style w:type="paragraph" w:styleId="SUBHEADTEXTBOX">
    <w:name w:val="SUBHEAD TEXT BOX"/>
    <w:qFormat/>
    <w:pPr>
      <w:widowControl/>
      <w:bidi w:val="0"/>
      <w:spacing w:before="40" w:after="80"/>
      <w:ind w:hanging="360" w:start="360" w:end="0"/>
    </w:pPr>
    <w:rPr>
      <w:rFonts w:ascii="Arial Black" w:hAnsi="Arial Black" w:eastAsia="Times New Roman" w:cs="Arial Black"/>
      <w:color w:val="auto"/>
      <w:sz w:val="20"/>
      <w:szCs w:val="20"/>
      <w:lang w:val="en-CA" w:eastAsia="zh-CN" w:bidi="hi-IN"/>
    </w:rPr>
  </w:style>
  <w:style w:type="paragraph" w:styleId="SUBHEAD1">
    <w:name w:val="SUBHEAD1"/>
    <w:qFormat/>
    <w:pPr>
      <w:widowControl/>
      <w:bidi w:val="0"/>
      <w:spacing w:before="240" w:after="0"/>
    </w:pPr>
    <w:rPr>
      <w:rFonts w:ascii="Arial Black" w:hAnsi="Arial Black" w:eastAsia="Times New Roman" w:cs="Arial Black"/>
      <w:color w:val="auto"/>
      <w:sz w:val="18"/>
      <w:szCs w:val="20"/>
      <w:lang w:val="en-CA" w:eastAsia="zh-CN" w:bidi="hi-IN"/>
    </w:rPr>
  </w:style>
  <w:style w:type="paragraph" w:styleId="SUBHEAD2">
    <w:name w:val="SUBHEAD2"/>
    <w:basedOn w:val="SUBHEAD1"/>
    <w:qFormat/>
    <w:pPr/>
    <w:rPr>
      <w:i/>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BLCENTER">
    <w:name w:val="TBL CENTER"/>
    <w:qFormat/>
    <w:pPr>
      <w:widowControl/>
      <w:bidi w:val="0"/>
      <w:jc w:val="center"/>
    </w:pPr>
    <w:rPr>
      <w:rFonts w:ascii="Arial" w:hAnsi="Arial" w:eastAsia="Times New Roman" w:cs="Arial"/>
      <w:color w:val="auto"/>
      <w:sz w:val="16"/>
      <w:szCs w:val="20"/>
      <w:lang w:val="en-CA" w:eastAsia="zh-CN" w:bidi="hi-IN"/>
    </w:rPr>
  </w:style>
  <w:style w:type="paragraph" w:styleId="TBLHEADWRULE">
    <w:name w:val="TBL HEAD W/RULE"/>
    <w:qFormat/>
    <w:pPr>
      <w:widowControl/>
      <w:pBdr>
        <w:top w:val="single" w:sz="4" w:space="4" w:color="000000"/>
      </w:pBdr>
      <w:bidi w:val="0"/>
      <w:spacing w:before="40" w:after="0"/>
      <w:jc w:val="both"/>
    </w:pPr>
    <w:rPr>
      <w:rFonts w:ascii="Arial Black" w:hAnsi="Arial Black" w:eastAsia="Times New Roman" w:cs="Arial Black"/>
      <w:color w:val="auto"/>
      <w:sz w:val="20"/>
      <w:szCs w:val="20"/>
      <w:lang w:val="en-CA" w:eastAsia="zh-CN" w:bidi="hi-IN"/>
    </w:rPr>
  </w:style>
  <w:style w:type="paragraph" w:styleId="TBLHEADWORULE">
    <w:name w:val="TBL HEAD W/O RULE"/>
    <w:basedOn w:val="TBLHEADWRULE"/>
    <w:qFormat/>
    <w:pPr>
      <w:pBdr>
        <w:top w:val="nil"/>
      </w:pBdr>
    </w:pPr>
    <w:rPr>
      <w:lang w:eastAsia="en-US"/>
    </w:rPr>
  </w:style>
  <w:style w:type="paragraph" w:styleId="TBLRIGHT">
    <w:name w:val="TBL RIGHT"/>
    <w:qFormat/>
    <w:pPr>
      <w:widowControl/>
      <w:bidi w:val="0"/>
      <w:ind w:hanging="0" w:start="0" w:end="72"/>
      <w:jc w:val="end"/>
    </w:pPr>
    <w:rPr>
      <w:rFonts w:ascii="Arial" w:hAnsi="Arial" w:eastAsia="Times New Roman" w:cs="Arial"/>
      <w:color w:val="auto"/>
      <w:sz w:val="16"/>
      <w:szCs w:val="20"/>
      <w:lang w:val="en-CA" w:eastAsia="zh-CN" w:bidi="hi-IN"/>
    </w:rPr>
  </w:style>
  <w:style w:type="paragraph" w:styleId="TBLRIGHTW">
    <w:name w:val="TBL RIGHT W/)"/>
    <w:qFormat/>
    <w:pPr>
      <w:widowControl/>
      <w:bidi w:val="0"/>
      <w:ind w:hanging="0" w:start="0" w:end="29"/>
      <w:jc w:val="end"/>
    </w:pPr>
    <w:rPr>
      <w:rFonts w:ascii="Arial" w:hAnsi="Arial" w:eastAsia="Times New Roman" w:cs="Arial"/>
      <w:color w:val="auto"/>
      <w:sz w:val="16"/>
      <w:szCs w:val="20"/>
      <w:lang w:val="en-CA" w:eastAsia="zh-CN" w:bidi="hi-IN"/>
    </w:rPr>
  </w:style>
  <w:style w:type="paragraph" w:styleId="TBLRIGHTWUNDERLINE">
    <w:name w:val="TBL RIGHT W/)UNDERLINE"/>
    <w:basedOn w:val="TBLRIGHTW"/>
    <w:qFormat/>
    <w:pPr/>
    <w:rPr>
      <w:u w:val="single"/>
    </w:rPr>
  </w:style>
  <w:style w:type="paragraph" w:styleId="TBLRIGHTWUNDERLINE1">
    <w:name w:val="TBL RIGHT W/UNDERLINE"/>
    <w:basedOn w:val="TBLRIGHT"/>
    <w:qFormat/>
    <w:pPr>
      <w:ind w:hanging="0" w:start="72" w:end="72"/>
    </w:pPr>
    <w:rPr>
      <w:u w:val="single"/>
      <w:lang w:eastAsia="en-US"/>
    </w:rPr>
  </w:style>
  <w:style w:type="paragraph" w:styleId="TBLRULECOLUMNHEAD">
    <w:name w:val="TBL RULE COLUMN HEAD"/>
    <w:qFormat/>
    <w:pPr>
      <w:widowControl/>
      <w:pBdr>
        <w:top w:val="single" w:sz="4" w:space="1" w:color="000000"/>
      </w:pBdr>
      <w:bidi w:val="0"/>
    </w:pPr>
    <w:rPr>
      <w:rFonts w:ascii="Arial" w:hAnsi="Arial" w:eastAsia="Times New Roman" w:cs="Arial"/>
      <w:color w:val="auto"/>
      <w:sz w:val="2"/>
      <w:szCs w:val="20"/>
      <w:lang w:val="en-US" w:eastAsia="zh-CN" w:bidi="hi-IN"/>
    </w:rPr>
  </w:style>
  <w:style w:type="paragraph" w:styleId="TBLRULEWFOOTNOTE">
    <w:name w:val="TBL RULE W/FOOTNOTE"/>
    <w:qFormat/>
    <w:pPr>
      <w:widowControl/>
      <w:pBdr>
        <w:bottom w:val="single" w:sz="4" w:space="4" w:color="000000"/>
      </w:pBdr>
      <w:bidi w:val="0"/>
      <w:spacing w:before="80" w:after="120"/>
    </w:pPr>
    <w:rPr>
      <w:rFonts w:ascii="Arial" w:hAnsi="Arial" w:eastAsia="Times New Roman" w:cs="Arial"/>
      <w:color w:val="auto"/>
      <w:sz w:val="14"/>
      <w:szCs w:val="20"/>
      <w:lang w:eastAsia="en-US" w:val="en-CA" w:bidi="hi-IN"/>
    </w:rPr>
  </w:style>
  <w:style w:type="paragraph" w:styleId="TBLRULEWOFOOTNOTE">
    <w:name w:val="TBL RULE W/O FOOTNOTE"/>
    <w:qFormat/>
    <w:pPr>
      <w:widowControl/>
      <w:pBdr>
        <w:bottom w:val="single" w:sz="4" w:space="1" w:color="000000"/>
      </w:pBdr>
      <w:bidi w:val="0"/>
      <w:spacing w:before="0" w:after="120"/>
    </w:pPr>
    <w:rPr>
      <w:rFonts w:ascii="Times New Roman" w:hAnsi="Times New Roman" w:eastAsia="Times New Roman" w:cs="Times New Roman"/>
      <w:color w:val="auto"/>
      <w:sz w:val="10"/>
      <w:szCs w:val="20"/>
      <w:lang w:val="en-CA" w:eastAsia="zh-CN" w:bidi="hi-IN"/>
    </w:rPr>
  </w:style>
  <w:style w:type="paragraph" w:styleId="TBLSUBHEAD">
    <w:name w:val="TBL SUBHEAD"/>
    <w:qFormat/>
    <w:pPr>
      <w:widowControl/>
      <w:bidi w:val="0"/>
    </w:pPr>
    <w:rPr>
      <w:rFonts w:ascii="Arial Black" w:hAnsi="Arial Black" w:eastAsia="Times New Roman" w:cs="Arial Black"/>
      <w:color w:val="auto"/>
      <w:sz w:val="18"/>
      <w:szCs w:val="20"/>
      <w:lang w:val="en-CA" w:eastAsia="zh-CN" w:bidi="hi-IN"/>
    </w:rPr>
  </w:style>
  <w:style w:type="paragraph" w:styleId="TBLSUBHEAD1">
    <w:name w:val="TBL SUBHEAD1"/>
    <w:qFormat/>
    <w:pPr>
      <w:widowControl/>
      <w:bidi w:val="0"/>
      <w:spacing w:before="120" w:after="0"/>
    </w:pPr>
    <w:rPr>
      <w:rFonts w:ascii="Arial Black" w:hAnsi="Arial Black" w:eastAsia="Times New Roman" w:cs="Arial Black"/>
      <w:color w:val="auto"/>
      <w:sz w:val="18"/>
      <w:szCs w:val="20"/>
      <w:lang w:eastAsia="en-US" w:val="en-CA" w:bidi="hi-IN"/>
    </w:rPr>
  </w:style>
  <w:style w:type="paragraph" w:styleId="COUNTRY">
    <w:name w:val="COUNTRY"/>
    <w:qFormat/>
    <w:pPr>
      <w:widowControl/>
      <w:bidi w:val="0"/>
      <w:spacing w:before="120" w:after="0"/>
    </w:pPr>
    <w:rPr>
      <w:rFonts w:ascii="Arial" w:hAnsi="Arial" w:eastAsia="Times New Roman" w:cs="Arial"/>
      <w:color w:val="auto"/>
      <w:sz w:val="24"/>
      <w:szCs w:val="20"/>
      <w:lang w:val="en-CA" w:eastAsia="zh-CN" w:bidi="hi-IN"/>
    </w:rPr>
  </w:style>
  <w:style w:type="paragraph" w:styleId="BlockText">
    <w:name w:val="Block Text"/>
    <w:basedOn w:val="Normal"/>
    <w:qFormat/>
    <w:pPr>
      <w:spacing w:before="0" w:after="120"/>
      <w:ind w:hanging="0" w:start="1440" w:end="1440"/>
    </w:pPr>
    <w:rPr/>
  </w:style>
  <w:style w:type="paragraph" w:styleId="BodyText21">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1"/>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000000"/>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24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ULLETDECK">
    <w:name w:val="BULLET DECK"/>
    <w:qFormat/>
    <w:pPr>
      <w:widowControl/>
      <w:numPr>
        <w:ilvl w:val="0"/>
        <w:numId w:val="13"/>
      </w:numPr>
      <w:bidi w:val="0"/>
      <w:ind w:hanging="360" w:start="360" w:end="0"/>
    </w:pPr>
    <w:rPr>
      <w:rFonts w:ascii="Times New Roman" w:hAnsi="Times New Roman" w:eastAsia="Times New Roman" w:cs="Times New Roman"/>
      <w:color w:val="auto"/>
      <w:sz w:val="18"/>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GP-TT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2001-11-13T17:42:00Z</dcterms:created>
  <dc:creator>DCR</dc:creator>
  <dc:description/>
  <dc:language>en-CA</dc:language>
  <cp:lastModifiedBy>rpellecc</cp:lastModifiedBy>
  <cp:lastPrinted>2001-11-16T08:27:00Z</cp:lastPrinted>
  <dcterms:modified xsi:type="dcterms:W3CDTF">2001-11-16T11:01:00Z</dcterms:modified>
  <cp:revision>10</cp:revision>
  <dc:subject/>
  <dc:title>Tax Supported</dc:title>
</cp:coreProperties>
</file>