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cs="Arial" w:ascii="Arial" w:hAnsi="Arial"/>
          <w:i/>
        </w:rPr>
        <w:t>Title</w:t>
      </w:r>
      <w:r>
        <w:rPr>
          <w:rFonts w:cs="Arial" w:ascii="Arial" w:hAnsi="Arial"/>
          <w:i/>
          <w:sz w:val="22"/>
        </w:rPr>
        <w:t>:</w:t>
      </w:r>
      <w:r>
        <w:rPr>
          <w:rFonts w:cs="Arial" w:ascii="Arial" w:hAnsi="Arial"/>
          <w:sz w:val="22"/>
        </w:rPr>
        <w:tab/>
        <w:tab/>
        <w:t xml:space="preserve">Gift Acceptance – Non-cash </w:t>
      </w:r>
    </w:p>
    <w:p>
      <w:pPr>
        <w:pStyle w:val="Normal"/>
        <w:jc w:val="both"/>
        <w:rPr>
          <w:rFonts w:ascii="Arial" w:hAnsi="Arial" w:cs="Arial"/>
          <w:sz w:val="22"/>
        </w:rPr>
      </w:pPr>
      <w:r>
        <w:rPr>
          <w:rFonts w:cs="Arial" w:ascii="Arial" w:hAnsi="Arial"/>
          <w:sz w:val="22"/>
        </w:rPr>
      </w:r>
    </w:p>
    <w:p>
      <w:pPr>
        <w:pStyle w:val="Normal"/>
        <w:ind w:hanging="1440" w:start="1440" w:end="0"/>
        <w:jc w:val="both"/>
        <w:rPr/>
      </w:pPr>
      <w:r>
        <w:rPr>
          <w:rFonts w:cs="Arial" w:ascii="Arial" w:hAnsi="Arial"/>
          <w:i/>
        </w:rPr>
        <w:t>Purpose</w:t>
      </w:r>
      <w:r>
        <w:rPr>
          <w:rFonts w:cs="Arial" w:ascii="Arial" w:hAnsi="Arial"/>
          <w:sz w:val="22"/>
        </w:rPr>
        <w:t>:</w:t>
        <w:tab/>
        <w:t xml:space="preserve">To establish a standard policy for the acceptance and valuation of gifts other than cash </w:t>
      </w:r>
    </w:p>
    <w:p>
      <w:pPr>
        <w:pStyle w:val="Normal"/>
        <w:pBdr>
          <w:bottom w:val="single" w:sz="12" w:space="1" w:color="000000"/>
        </w:pBdr>
        <w:ind w:hanging="1620" w:start="1620" w:end="0"/>
        <w:jc w:val="both"/>
        <w:rPr>
          <w:rFonts w:ascii="Arial" w:hAnsi="Arial" w:cs="Arial"/>
          <w:sz w:val="22"/>
        </w:rPr>
      </w:pPr>
      <w:r>
        <w:rPr>
          <w:rFonts w:cs="Arial" w:ascii="Arial" w:hAnsi="Arial"/>
          <w:sz w:val="22"/>
        </w:rPr>
      </w:r>
    </w:p>
    <w:p>
      <w:pPr>
        <w:pStyle w:val="Normal"/>
        <w:pBdr>
          <w:bottom w:val="single" w:sz="12" w:space="1" w:color="000000"/>
        </w:pBdr>
        <w:ind w:hanging="1440" w:start="1440" w:end="0"/>
        <w:jc w:val="both"/>
        <w:rPr>
          <w:rFonts w:ascii="Arial" w:hAnsi="Arial" w:cs="Arial"/>
          <w:i/>
          <w:i/>
        </w:rPr>
      </w:pPr>
      <w:r>
        <w:rPr>
          <w:rFonts w:cs="Arial" w:ascii="Arial" w:hAnsi="Arial"/>
          <w:i/>
        </w:rPr>
        <w:t>Effective Date:</w:t>
      </w:r>
    </w:p>
    <w:p>
      <w:pPr>
        <w:pStyle w:val="Normal"/>
        <w:pBdr>
          <w:bottom w:val="single" w:sz="12" w:space="1" w:color="000000"/>
        </w:pBdr>
        <w:ind w:hanging="1440" w:start="1440" w:end="0"/>
        <w:jc w:val="both"/>
        <w:rPr>
          <w:rFonts w:ascii="Arial" w:hAnsi="Arial" w:cs="Arial"/>
          <w:i/>
          <w:i/>
          <w:sz w:val="22"/>
        </w:rPr>
      </w:pPr>
      <w:r>
        <w:rPr>
          <w:rFonts w:cs="Arial" w:ascii="Arial" w:hAnsi="Arial"/>
          <w:i/>
          <w:sz w:val="22"/>
        </w:rPr>
      </w:r>
    </w:p>
    <w:p>
      <w:pPr>
        <w:pStyle w:val="Normal"/>
        <w:ind w:hanging="1440" w:start="1440" w:end="0"/>
        <w:jc w:val="both"/>
        <w:rPr>
          <w:rFonts w:ascii="Arial" w:hAnsi="Arial" w:cs="Arial"/>
          <w:sz w:val="22"/>
        </w:rPr>
      </w:pPr>
      <w:r>
        <w:rPr>
          <w:rFonts w:cs="Arial" w:ascii="Arial" w:hAnsi="Arial"/>
          <w:sz w:val="22"/>
        </w:rPr>
      </w:r>
    </w:p>
    <w:p>
      <w:pPr>
        <w:pStyle w:val="Normal"/>
        <w:jc w:val="both"/>
        <w:rPr/>
      </w:pPr>
      <w:r>
        <w:rPr>
          <w:rFonts w:cs="Arial" w:ascii="Arial" w:hAnsi="Arial"/>
          <w:sz w:val="22"/>
        </w:rPr>
        <w:t>Donors may choose to make a contribution to a Greater Houston Community Foundation (GHCF) fund with a</w:t>
      </w:r>
      <w:r>
        <w:rPr>
          <w:rFonts w:cs="Arial" w:ascii="Arial" w:hAnsi="Arial"/>
          <w:i/>
          <w:sz w:val="22"/>
        </w:rPr>
        <w:t xml:space="preserve"> </w:t>
      </w:r>
      <w:r>
        <w:rPr>
          <w:rFonts w:cs="Arial" w:ascii="Arial" w:hAnsi="Arial"/>
          <w:sz w:val="22"/>
        </w:rPr>
        <w:t xml:space="preserve">variety of marketable assets other than cash.  These assets may include, but are not limited to, brokerage held marketable securities, donor held marketable securities (may be restricted), mutual funds and certificates of deposit (CDs).  With the exception of CDs, GHCF’s policy is to sell marketable assets upon receipt.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Non-marketable assets may be accepted as gifts but are subject to prior approval by the Investment Committee. These assets may include, but are not limited to, ownership interests in nonmarketable investments, remainder beneficiary interests in charitable remainder trusts (CRT), life insurance, stock options, gifts in kind, land or other real property, works of art and other split-interest gifts. Since interests in these entities are not liquid, the donor is required to make a gift of cash or marketable securities to cover administrative fees, professional fees and any other out-of-pocket costs incurred by the Foundation in the transfer of ownership of these types of gifts</w:t>
      </w:r>
      <w:r>
        <w:rPr>
          <w:rFonts w:cs="Arial" w:ascii="Arial" w:hAnsi="Arial"/>
          <w:i/>
          <w:sz w:val="22"/>
        </w:rPr>
        <w:t>.</w:t>
      </w:r>
      <w:r>
        <w:rPr>
          <w:rFonts w:cs="Arial" w:ascii="Arial" w:hAnsi="Arial"/>
          <w:sz w:val="22"/>
        </w:rPr>
        <w:t xml:space="preserv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The following outlines the acceptance policy for certain of the above mentioned assets:</w:t>
      </w:r>
    </w:p>
    <w:p>
      <w:pPr>
        <w:pStyle w:val="Normal"/>
        <w:jc w:val="both"/>
        <w:rPr>
          <w:rFonts w:ascii="Arial" w:hAnsi="Arial" w:cs="Arial"/>
          <w:sz w:val="22"/>
        </w:rPr>
      </w:pPr>
      <w:r>
        <w:rPr>
          <w:rFonts w:cs="Arial" w:ascii="Arial" w:hAnsi="Arial"/>
          <w:sz w:val="22"/>
        </w:rPr>
      </w:r>
    </w:p>
    <w:p>
      <w:pPr>
        <w:pStyle w:val="Normal"/>
        <w:numPr>
          <w:ilvl w:val="0"/>
          <w:numId w:val="6"/>
        </w:numPr>
        <w:jc w:val="both"/>
        <w:rPr>
          <w:rFonts w:ascii="Arial" w:hAnsi="Arial" w:cs="Arial"/>
          <w:sz w:val="22"/>
          <w:u w:val="single"/>
        </w:rPr>
      </w:pPr>
      <w:r>
        <w:rPr>
          <w:rFonts w:cs="Arial" w:ascii="Arial" w:hAnsi="Arial"/>
          <w:sz w:val="22"/>
          <w:u w:val="single"/>
        </w:rPr>
        <w:t>Brokerage held marketable securities</w:t>
      </w:r>
    </w:p>
    <w:p>
      <w:pPr>
        <w:pStyle w:val="Normal"/>
        <w:ind w:start="360" w:end="0"/>
        <w:jc w:val="both"/>
        <w:rPr>
          <w:rFonts w:ascii="Arial" w:hAnsi="Arial" w:cs="Arial"/>
          <w:sz w:val="22"/>
          <w:u w:val="single"/>
        </w:rPr>
      </w:pPr>
      <w:r>
        <w:rPr>
          <w:rFonts w:cs="Arial" w:ascii="Arial" w:hAnsi="Arial"/>
          <w:sz w:val="22"/>
          <w:u w:val="single"/>
        </w:rPr>
      </w:r>
    </w:p>
    <w:p>
      <w:pPr>
        <w:pStyle w:val="Normal"/>
        <w:ind w:start="360" w:end="0"/>
        <w:jc w:val="both"/>
        <w:rPr>
          <w:rFonts w:ascii="Arial" w:hAnsi="Arial" w:cs="Arial"/>
          <w:sz w:val="22"/>
        </w:rPr>
      </w:pPr>
      <w:r>
        <w:rPr>
          <w:rFonts w:cs="Arial" w:ascii="Arial" w:hAnsi="Arial"/>
          <w:sz w:val="22"/>
        </w:rPr>
        <w:t>Ownership of marketable securities (stocks or bonds) that are held in “street” name is easily transferable.  The donor should send a letter of authorization (LOA) to his or her broker (with a copy to GHCF) that includes the following information:</w:t>
      </w:r>
    </w:p>
    <w:p>
      <w:pPr>
        <w:pStyle w:val="Normal"/>
        <w:ind w:start="360" w:end="0"/>
        <w:jc w:val="both"/>
        <w:rPr>
          <w:rFonts w:ascii="Arial" w:hAnsi="Arial" w:cs="Arial"/>
          <w:sz w:val="22"/>
        </w:rPr>
      </w:pPr>
      <w:r>
        <w:rPr>
          <w:rFonts w:cs="Arial" w:ascii="Arial" w:hAnsi="Arial"/>
          <w:sz w:val="22"/>
        </w:rPr>
      </w:r>
    </w:p>
    <w:p>
      <w:pPr>
        <w:pStyle w:val="Normal"/>
        <w:numPr>
          <w:ilvl w:val="0"/>
          <w:numId w:val="3"/>
        </w:numPr>
        <w:jc w:val="both"/>
        <w:rPr>
          <w:rFonts w:ascii="Arial" w:hAnsi="Arial" w:cs="Arial"/>
          <w:sz w:val="22"/>
        </w:rPr>
      </w:pPr>
      <w:r>
        <w:rPr>
          <w:rFonts w:cs="Arial" w:ascii="Arial" w:hAnsi="Arial"/>
          <w:sz w:val="22"/>
        </w:rPr>
        <w:t>Name and number of shares of the securities to be transferred</w:t>
      </w:r>
    </w:p>
    <w:p>
      <w:pPr>
        <w:pStyle w:val="Normal"/>
        <w:numPr>
          <w:ilvl w:val="0"/>
          <w:numId w:val="3"/>
        </w:numPr>
        <w:jc w:val="both"/>
        <w:rPr>
          <w:rFonts w:ascii="Arial" w:hAnsi="Arial" w:cs="Arial"/>
          <w:sz w:val="22"/>
        </w:rPr>
      </w:pPr>
      <w:r>
        <w:rPr>
          <w:rFonts w:cs="Arial" w:ascii="Arial" w:hAnsi="Arial"/>
          <w:sz w:val="22"/>
        </w:rPr>
        <w:t xml:space="preserve">Name of the GHCF fund to be credited </w:t>
      </w:r>
    </w:p>
    <w:p>
      <w:pPr>
        <w:pStyle w:val="Normal"/>
        <w:numPr>
          <w:ilvl w:val="0"/>
          <w:numId w:val="3"/>
        </w:numPr>
        <w:jc w:val="both"/>
        <w:rPr>
          <w:rFonts w:ascii="Arial" w:hAnsi="Arial" w:cs="Arial"/>
          <w:sz w:val="22"/>
        </w:rPr>
      </w:pPr>
      <w:r>
        <w:rPr>
          <w:rFonts w:cs="Arial" w:ascii="Arial" w:hAnsi="Arial"/>
          <w:sz w:val="22"/>
        </w:rPr>
        <w:t>GHCF’s custodian’s name, DTC number and GHCF’s account number</w:t>
      </w:r>
    </w:p>
    <w:p>
      <w:pPr>
        <w:pStyle w:val="Normal"/>
        <w:numPr>
          <w:ilvl w:val="0"/>
          <w:numId w:val="3"/>
        </w:numPr>
        <w:jc w:val="both"/>
        <w:rPr>
          <w:rFonts w:ascii="Arial" w:hAnsi="Arial" w:cs="Arial"/>
          <w:sz w:val="22"/>
        </w:rPr>
      </w:pPr>
      <w:r>
        <w:rPr>
          <w:rFonts w:cs="Arial" w:ascii="Arial" w:hAnsi="Arial"/>
          <w:sz w:val="22"/>
        </w:rPr>
        <w:t xml:space="preserve">GHCF’s address and telephone number </w:t>
      </w:r>
    </w:p>
    <w:p>
      <w:pPr>
        <w:pStyle w:val="Normal"/>
        <w:jc w:val="both"/>
        <w:rPr>
          <w:rFonts w:ascii="Arial" w:hAnsi="Arial" w:cs="Arial"/>
          <w:sz w:val="22"/>
        </w:rPr>
      </w:pPr>
      <w:r>
        <w:rPr>
          <w:rFonts w:cs="Arial" w:ascii="Arial" w:hAnsi="Arial"/>
          <w:sz w:val="22"/>
        </w:rPr>
      </w:r>
    </w:p>
    <w:p>
      <w:pPr>
        <w:pStyle w:val="Normal"/>
        <w:ind w:start="360" w:end="0"/>
        <w:jc w:val="both"/>
        <w:rPr/>
      </w:pPr>
      <w:r>
        <w:rPr>
          <w:rFonts w:cs="Arial" w:ascii="Arial" w:hAnsi="Arial"/>
          <w:sz w:val="22"/>
        </w:rPr>
        <w:t xml:space="preserve">The value of the gift is assigned based on the average price (i.e., highest trading price + lowest trading price divided by 2) on the date the securities are </w:t>
      </w:r>
      <w:r>
        <w:rPr>
          <w:rFonts w:cs="Arial" w:ascii="Arial" w:hAnsi="Arial"/>
          <w:sz w:val="22"/>
          <w:u w:val="single"/>
        </w:rPr>
        <w:t>delivered</w:t>
      </w:r>
      <w:r>
        <w:rPr>
          <w:rFonts w:cs="Arial" w:ascii="Arial" w:hAnsi="Arial"/>
          <w:sz w:val="22"/>
        </w:rPr>
        <w:t xml:space="preserve"> to GHCF’s account (Treas. Reg. </w:t>
      </w:r>
      <w:r>
        <w:rPr>
          <w:rFonts w:cs="Lucida Console" w:ascii="Lucida Console" w:hAnsi="Lucida Console"/>
          <w:sz w:val="22"/>
        </w:rPr>
        <w:t>§</w:t>
      </w:r>
      <w:r>
        <w:rPr>
          <w:rFonts w:cs="Arial" w:ascii="Arial" w:hAnsi="Arial"/>
          <w:sz w:val="22"/>
        </w:rPr>
        <w:t xml:space="preserve">1.170A-1(b)). A reliable pricing source is used in determining the average price of the stock.  Some thinly traded stock may not trade every day.  Should stock be received that does not trade on the delivery date, the value will be assigned based on the average price the next day on which it does trade.  </w:t>
      </w:r>
    </w:p>
    <w:p>
      <w:pPr>
        <w:pStyle w:val="Normal"/>
        <w:ind w:start="360" w:end="0"/>
        <w:jc w:val="both"/>
        <w:rPr>
          <w:rFonts w:ascii="Arial" w:hAnsi="Arial" w:cs="Arial"/>
          <w:sz w:val="22"/>
        </w:rPr>
      </w:pPr>
      <w:r>
        <w:rPr>
          <w:rFonts w:cs="Arial" w:ascii="Arial" w:hAnsi="Arial"/>
          <w:sz w:val="22"/>
        </w:rPr>
      </w:r>
    </w:p>
    <w:p>
      <w:pPr>
        <w:pStyle w:val="Normal"/>
        <w:ind w:start="360" w:end="0"/>
        <w:jc w:val="both"/>
        <w:rPr/>
      </w:pPr>
      <w:r>
        <w:rPr>
          <w:rFonts w:cs="Arial" w:ascii="Arial" w:hAnsi="Arial"/>
          <w:sz w:val="22"/>
        </w:rPr>
        <w:t xml:space="preserve">In the event that the timing of the receipt of a gift is critical (e.g., year-end), GHCF may, at its discretion, take constructive receipt, in writing, before the actual transfer is effected.  The Executive Director or Managing Director-Fund Development must agree to the transaction </w:t>
      </w:r>
      <w:r>
        <w:rPr>
          <w:rFonts w:cs="Arial" w:ascii="Arial" w:hAnsi="Arial"/>
          <w:sz w:val="22"/>
          <w:u w:val="single"/>
        </w:rPr>
        <w:t>before</w:t>
      </w:r>
      <w:r>
        <w:rPr>
          <w:rFonts w:cs="Arial" w:ascii="Arial" w:hAnsi="Arial"/>
          <w:sz w:val="22"/>
        </w:rPr>
        <w:t xml:space="preserve"> the critical date arrives.</w:t>
      </w:r>
    </w:p>
    <w:p>
      <w:pPr>
        <w:pStyle w:val="Normal"/>
        <w:ind w:start="360" w:end="0"/>
        <w:jc w:val="both"/>
        <w:rPr>
          <w:rFonts w:ascii="Arial" w:hAnsi="Arial" w:cs="Arial"/>
          <w:sz w:val="22"/>
          <w:u w:val="single"/>
        </w:rPr>
      </w:pPr>
      <w:r>
        <w:rPr>
          <w:rFonts w:cs="Arial" w:ascii="Arial" w:hAnsi="Arial"/>
          <w:sz w:val="22"/>
          <w:u w:val="single"/>
        </w:rPr>
        <w:t>Donor held marketable securities</w:t>
      </w:r>
    </w:p>
    <w:p>
      <w:pPr>
        <w:pStyle w:val="Normal"/>
        <w:jc w:val="both"/>
        <w:rPr>
          <w:rFonts w:ascii="Arial" w:hAnsi="Arial" w:cs="Arial"/>
          <w:sz w:val="22"/>
          <w:u w:val="single"/>
        </w:rPr>
      </w:pPr>
      <w:r>
        <w:rPr>
          <w:rFonts w:cs="Arial" w:ascii="Arial" w:hAnsi="Arial"/>
          <w:sz w:val="22"/>
          <w:u w:val="single"/>
        </w:rPr>
      </w:r>
    </w:p>
    <w:p>
      <w:pPr>
        <w:pStyle w:val="Normal"/>
        <w:ind w:start="360" w:end="0"/>
        <w:jc w:val="both"/>
        <w:rPr/>
      </w:pPr>
      <w:r>
        <w:rPr>
          <w:rFonts w:cs="Arial" w:ascii="Arial" w:hAnsi="Arial"/>
          <w:sz w:val="22"/>
        </w:rPr>
        <w:t>Stock certificates or bonds that are mailed should be sent via registered mail (unendorsed).  A signed Irrevocable Stock or Bond Power should be sent under separate cover.  Hand delivered securities should also be unendorsed and accompanied by a signed Irrevocable Stock or Bond Power. GHCF will provide the donor with an acknowledgement of receipt of the securities.  The securities and the Irrevocable Stock or Bond Power will be delivered to GHCF’s custodian. The date of mail receipt or hand delivery to the Foundation will</w:t>
      </w:r>
      <w:r>
        <w:rPr>
          <w:rFonts w:cs="Arial" w:ascii="Arial" w:hAnsi="Arial"/>
          <w:i/>
          <w:sz w:val="22"/>
        </w:rPr>
        <w:t xml:space="preserve"> </w:t>
      </w:r>
      <w:r>
        <w:rPr>
          <w:rFonts w:cs="Arial" w:ascii="Arial" w:hAnsi="Arial"/>
          <w:sz w:val="22"/>
        </w:rPr>
        <w:t xml:space="preserve">determine the gift valuation date. </w:t>
      </w:r>
    </w:p>
    <w:p>
      <w:pPr>
        <w:pStyle w:val="Normal"/>
        <w:ind w:start="360" w:end="0"/>
        <w:jc w:val="both"/>
        <w:rPr>
          <w:rFonts w:ascii="Arial" w:hAnsi="Arial" w:cs="Arial"/>
          <w:sz w:val="22"/>
        </w:rPr>
      </w:pPr>
      <w:r>
        <w:rPr>
          <w:rFonts w:cs="Arial" w:ascii="Arial" w:hAnsi="Arial"/>
          <w:sz w:val="22"/>
        </w:rPr>
      </w:r>
    </w:p>
    <w:p>
      <w:pPr>
        <w:pStyle w:val="BodyTextIndent2"/>
        <w:rPr/>
      </w:pPr>
      <w:r>
        <w:rPr/>
        <w:t>A donor may choose to transfer securities to GHCF’s name. Whether the gift is accomplished through a DTC transfer, mailed or hand delivered to the Foundation, the gift valuation date is the date that the securities are registered, received and/or transferred into GHCF’s name or account.</w:t>
      </w:r>
    </w:p>
    <w:p>
      <w:pPr>
        <w:pStyle w:val="Normal"/>
        <w:ind w:start="360" w:end="0"/>
        <w:jc w:val="both"/>
        <w:rPr>
          <w:rFonts w:ascii="Arial" w:hAnsi="Arial" w:cs="Arial"/>
          <w:sz w:val="22"/>
        </w:rPr>
      </w:pPr>
      <w:r>
        <w:rPr>
          <w:rFonts w:cs="Arial" w:ascii="Arial" w:hAnsi="Arial"/>
          <w:sz w:val="22"/>
        </w:rPr>
      </w:r>
    </w:p>
    <w:p>
      <w:pPr>
        <w:pStyle w:val="Normal"/>
        <w:ind w:start="360" w:end="0"/>
        <w:jc w:val="both"/>
        <w:rPr/>
      </w:pPr>
      <w:r>
        <w:rPr>
          <w:rFonts w:cs="Arial" w:ascii="Arial" w:hAnsi="Arial"/>
          <w:sz w:val="22"/>
        </w:rPr>
        <w:t xml:space="preserve">GHCF will accept gifts of restricted stock.  Since these restrictions can take many forms, each gift of restricted stock will be handled on a case-by-case basis.  In general, the gift valuation date is the date that the securities are registered, received and/or transferred into GHCF’s name or account.  However, </w:t>
      </w:r>
      <w:r>
        <w:rPr>
          <w:rFonts w:cs="Arial" w:ascii="Arial" w:hAnsi="Arial"/>
          <w:sz w:val="22"/>
          <w:u w:val="single"/>
        </w:rPr>
        <w:t>the valuation of the donor’s fund balance will be based on the proceeds from the sale of the stock.</w:t>
      </w:r>
      <w:r>
        <w:rPr>
          <w:rFonts w:cs="Arial" w:ascii="Arial" w:hAnsi="Arial"/>
          <w:sz w:val="22"/>
        </w:rPr>
        <w:t xml:space="preserve">  A gift of</w:t>
      </w:r>
      <w:r>
        <w:rPr>
          <w:rFonts w:cs="Arial" w:ascii="Arial" w:hAnsi="Arial"/>
          <w:i/>
          <w:sz w:val="22"/>
        </w:rPr>
        <w:t xml:space="preserve"> </w:t>
      </w:r>
      <w:r>
        <w:rPr>
          <w:rFonts w:cs="Arial" w:ascii="Arial" w:hAnsi="Arial"/>
          <w:sz w:val="22"/>
        </w:rPr>
        <w:t xml:space="preserve">restricted stock with a “legend” that cannot be removed for a specified period of time may be sold at a discount that in turn lowers the value of the gift.  Therefore, when stock carrying this type of restriction is received by the Foundation, an appraisal (or some other accepted form of valuation) must accompany the gifted stock for charitable gift and valuation purposes. </w:t>
      </w:r>
    </w:p>
    <w:p>
      <w:pPr>
        <w:pStyle w:val="Normal"/>
        <w:jc w:val="both"/>
        <w:rPr>
          <w:rFonts w:ascii="Arial" w:hAnsi="Arial" w:cs="Arial"/>
          <w:sz w:val="22"/>
          <w:u w:val="single"/>
        </w:rPr>
      </w:pPr>
      <w:r>
        <w:rPr>
          <w:rFonts w:cs="Arial" w:ascii="Arial" w:hAnsi="Arial"/>
          <w:sz w:val="22"/>
          <w:u w:val="single"/>
        </w:rPr>
      </w:r>
    </w:p>
    <w:p>
      <w:pPr>
        <w:pStyle w:val="Normal"/>
        <w:jc w:val="both"/>
        <w:rPr>
          <w:rFonts w:ascii="Arial" w:hAnsi="Arial" w:cs="Arial"/>
          <w:sz w:val="22"/>
          <w:u w:val="single"/>
        </w:rPr>
      </w:pPr>
      <w:r>
        <w:rPr>
          <w:rFonts w:cs="Arial" w:ascii="Arial" w:hAnsi="Arial"/>
          <w:sz w:val="22"/>
          <w:u w:val="single"/>
        </w:rPr>
      </w:r>
    </w:p>
    <w:p>
      <w:pPr>
        <w:pStyle w:val="Normal"/>
        <w:numPr>
          <w:ilvl w:val="0"/>
          <w:numId w:val="4"/>
        </w:numPr>
        <w:jc w:val="both"/>
        <w:rPr>
          <w:rFonts w:ascii="Arial" w:hAnsi="Arial" w:cs="Arial"/>
          <w:sz w:val="22"/>
          <w:u w:val="single"/>
        </w:rPr>
      </w:pPr>
      <w:r>
        <w:rPr>
          <w:rFonts w:cs="Arial" w:ascii="Arial" w:hAnsi="Arial"/>
          <w:sz w:val="22"/>
          <w:u w:val="single"/>
        </w:rPr>
        <w:t>Certificates of Deposit</w:t>
      </w:r>
    </w:p>
    <w:p>
      <w:pPr>
        <w:pStyle w:val="BodyTextIndent"/>
        <w:rPr>
          <w:sz w:val="22"/>
        </w:rPr>
      </w:pPr>
      <w:r>
        <w:rPr>
          <w:sz w:val="22"/>
        </w:rPr>
        <w:t xml:space="preserve">The same procedures as those for brokerage held marketable securities apply to the transfer of CDs to GHCF.  The value assigned to the gift is the face value of the CD.  After accepting a CD as a gift, GHCF will consult with the issuer as to whether or not the CD may be redeemed for cash with no penalty.  If there is a penalty, the CD will be held to maturity.  Those with no penalty will be redeemed and the cash invested in the custodial pool.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u w:val="single"/>
        </w:rPr>
      </w:pPr>
      <w:r>
        <w:rPr>
          <w:rFonts w:cs="Arial" w:ascii="Arial" w:hAnsi="Arial"/>
          <w:sz w:val="22"/>
          <w:u w:val="single"/>
        </w:rPr>
        <w:t>Mutual funds</w:t>
      </w:r>
    </w:p>
    <w:p>
      <w:pPr>
        <w:pStyle w:val="BodyTextIndent"/>
        <w:rPr>
          <w:b/>
          <w:sz w:val="22"/>
        </w:rPr>
      </w:pPr>
      <w:r>
        <w:rPr>
          <w:sz w:val="22"/>
        </w:rPr>
        <w:t xml:space="preserve">Donors wishing to donate mutual funds should authorize the fund manager to transfer the shares to a GHCF account.  If GHCF does not have an account with the fund manager, the Executive Director or Managing Director-Fund Development is authorized to open an account with the written approval of the chairman of GHCF’s Investment Committee.  Upon delivery to GHCF’s account, the shares will be sold and the fund manager will be requested to send GHCF a check for the proceeds.  The value assigned to the gift is the cash proceeds from the sale. </w:t>
      </w:r>
    </w:p>
    <w:p>
      <w:pPr>
        <w:pStyle w:val="BodyTextIndent"/>
        <w:rPr>
          <w:b/>
          <w:sz w:val="22"/>
        </w:rPr>
      </w:pPr>
      <w:r>
        <w:rPr>
          <w:b/>
          <w:sz w:val="22"/>
        </w:rPr>
      </w:r>
    </w:p>
    <w:p>
      <w:pPr>
        <w:pStyle w:val="BodyTextIndent"/>
        <w:rPr>
          <w:b/>
          <w:sz w:val="22"/>
        </w:rPr>
      </w:pPr>
      <w:r>
        <w:rPr>
          <w:b/>
          <w:sz w:val="22"/>
        </w:rPr>
      </w:r>
    </w:p>
    <w:p>
      <w:pPr>
        <w:pStyle w:val="BodyTextIndent"/>
        <w:rPr>
          <w:sz w:val="22"/>
        </w:rPr>
      </w:pPr>
      <w:r>
        <w:rPr>
          <w:sz w:val="22"/>
        </w:rPr>
      </w:r>
    </w:p>
    <w:p>
      <w:pPr>
        <w:pStyle w:val="BodyTextIndent"/>
        <w:rPr>
          <w:sz w:val="22"/>
        </w:rPr>
      </w:pPr>
      <w:r>
        <w:rPr>
          <w:sz w:val="22"/>
        </w:rPr>
      </w:r>
    </w:p>
    <w:p>
      <w:pPr>
        <w:pStyle w:val="Normal"/>
        <w:numPr>
          <w:ilvl w:val="0"/>
          <w:numId w:val="7"/>
        </w:numPr>
        <w:jc w:val="both"/>
        <w:rPr>
          <w:rFonts w:ascii="Arial" w:hAnsi="Arial" w:cs="Arial"/>
          <w:sz w:val="22"/>
          <w:u w:val="single"/>
        </w:rPr>
      </w:pPr>
      <w:r>
        <w:rPr>
          <w:rFonts w:cs="Arial" w:ascii="Arial" w:hAnsi="Arial"/>
          <w:sz w:val="22"/>
          <w:u w:val="single"/>
        </w:rPr>
        <w:t>Ownership interest in non-marketable investments</w:t>
      </w:r>
    </w:p>
    <w:p>
      <w:pPr>
        <w:pStyle w:val="BodyTextIndent2"/>
        <w:rPr/>
      </w:pPr>
      <w:r>
        <w:rPr/>
        <w:t>Nonmarketable investments may include, but are not limited to, Limited Partnerships, Limited Liability Companies, S Corporations, and closely held corporations. The investment in the non-liquid asset is a component of the Donor Advised fund.</w:t>
      </w:r>
    </w:p>
    <w:p>
      <w:pPr>
        <w:pStyle w:val="Normal"/>
        <w:jc w:val="both"/>
        <w:rPr>
          <w:rFonts w:ascii="Arial" w:hAnsi="Arial" w:cs="Arial"/>
          <w:sz w:val="22"/>
        </w:rPr>
      </w:pPr>
      <w:r>
        <w:rPr>
          <w:rFonts w:cs="Arial" w:ascii="Arial" w:hAnsi="Arial"/>
          <w:sz w:val="22"/>
        </w:rPr>
      </w:r>
    </w:p>
    <w:p>
      <w:pPr>
        <w:pStyle w:val="BodyTextIndent"/>
        <w:rPr/>
      </w:pPr>
      <w:r>
        <w:rPr>
          <w:sz w:val="22"/>
        </w:rPr>
        <w:t>A percentage interest in these type entities is, generally, gifted to GHCF through an assignment agreement that has been reviewed and approved by GHCF’s general counsel.  The value of the assignment is determined by an independent appraisal of the assets.  The donor pays the cost of the appraisal</w:t>
      </w:r>
      <w:r>
        <w:rPr>
          <w:i/>
          <w:sz w:val="22"/>
        </w:rPr>
        <w:t xml:space="preserve">. </w:t>
      </w:r>
      <w:r>
        <w:rPr>
          <w:sz w:val="22"/>
        </w:rPr>
        <w:t>GHCF will engage an independent evaluation firm to review the methodologies, assumptions and conclusions of the appraisal and these costs are charged against the fund’s balance.</w:t>
      </w:r>
      <w:r>
        <w:rPr>
          <w:i/>
          <w:sz w:val="22"/>
        </w:rPr>
        <w:t xml:space="preserve"> </w:t>
      </w:r>
      <w:r>
        <w:rPr>
          <w:sz w:val="22"/>
        </w:rPr>
        <w:t>A confirmation agreement of the assignment may be, but is not always, executed following completion of the review of the</w:t>
      </w:r>
      <w:r>
        <w:rPr>
          <w:i/>
          <w:sz w:val="22"/>
        </w:rPr>
        <w:t xml:space="preserve"> </w:t>
      </w:r>
      <w:r>
        <w:rPr>
          <w:sz w:val="22"/>
        </w:rPr>
        <w:t xml:space="preserve">appraisal. </w:t>
      </w:r>
    </w:p>
    <w:p>
      <w:pPr>
        <w:pStyle w:val="Normal"/>
        <w:jc w:val="both"/>
        <w:rPr>
          <w:rFonts w:ascii="Arial" w:hAnsi="Arial" w:cs="Arial"/>
          <w:sz w:val="22"/>
        </w:rPr>
      </w:pPr>
      <w:r>
        <w:rPr>
          <w:rFonts w:cs="Arial" w:ascii="Arial" w:hAnsi="Arial"/>
          <w:sz w:val="22"/>
        </w:rPr>
      </w:r>
    </w:p>
    <w:p>
      <w:pPr>
        <w:pStyle w:val="Normal"/>
        <w:numPr>
          <w:ilvl w:val="0"/>
          <w:numId w:val="5"/>
        </w:numPr>
        <w:jc w:val="both"/>
        <w:rPr>
          <w:rFonts w:ascii="Arial" w:hAnsi="Arial" w:cs="Arial"/>
          <w:sz w:val="22"/>
        </w:rPr>
      </w:pPr>
      <w:r>
        <w:rPr>
          <w:rFonts w:cs="Arial" w:ascii="Arial" w:hAnsi="Arial"/>
          <w:sz w:val="22"/>
          <w:u w:val="single"/>
        </w:rPr>
        <w:t>Charitable Remainder Trusts</w:t>
      </w:r>
      <w:r>
        <w:rPr>
          <w:rFonts w:cs="Arial" w:ascii="Arial" w:hAnsi="Arial"/>
          <w:sz w:val="22"/>
        </w:rPr>
        <w:t xml:space="preserve"> </w:t>
      </w:r>
      <w:r>
        <w:rPr>
          <w:rFonts w:cs="Arial" w:ascii="Arial" w:hAnsi="Arial"/>
          <w:b/>
          <w:sz w:val="22"/>
        </w:rPr>
        <w:t xml:space="preserve"> </w:t>
      </w:r>
      <w:r>
        <w:rPr>
          <w:rFonts w:cs="Arial" w:ascii="Arial" w:hAnsi="Arial"/>
          <w:sz w:val="22"/>
        </w:rPr>
        <w:t xml:space="preserve">The Foundation will not act as trustee for charitable remainer trust. If a fund is named as an and/or the irrevocable remainderman of a CRT, the assets (applying the appropriate discount) of the CRT will be included and accounted for annually as part of the asset base of the Foundation.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BodyText"/>
        <w:numPr>
          <w:ilvl w:val="0"/>
          <w:numId w:val="2"/>
        </w:numPr>
        <w:rPr>
          <w:u w:val="single"/>
        </w:rPr>
      </w:pPr>
      <w:r>
        <w:rPr>
          <w:u w:val="single"/>
        </w:rPr>
        <w:t>Real Estate</w:t>
      </w:r>
    </w:p>
    <w:p>
      <w:pPr>
        <w:pStyle w:val="BodyText"/>
        <w:rPr>
          <w:u w:val="single"/>
        </w:rPr>
      </w:pPr>
      <w:r>
        <w:rPr>
          <w:u w:val="single"/>
        </w:rPr>
      </w:r>
    </w:p>
    <w:p>
      <w:pPr>
        <w:pStyle w:val="BodyText"/>
        <w:rPr/>
      </w:pPr>
      <w:r>
        <w:rPr/>
        <w:t xml:space="preserve">Staff and the donor will meet to visually inspect and evaluate the property. </w:t>
      </w:r>
      <w:r>
        <w:rPr>
          <w:i/>
        </w:rPr>
        <w:t>A current (dated within 60 days) appraisal that complies with IRS regulations and a Phase 1 Environmental Site-Assessment (as a minimum requirement) on the property will be</w:t>
      </w:r>
      <w:r>
        <w:rPr/>
        <w:t xml:space="preserve"> </w:t>
      </w:r>
      <w:r>
        <w:rPr>
          <w:i/>
        </w:rPr>
        <w:t>initiated by the Foundation before acceptance of the property with costs for both to be incurred by the donor.</w:t>
      </w:r>
      <w:r>
        <w:rPr/>
        <w:t xml:space="preserve"> If the real estate is not to be liquidated, the charitable intent of the real estate gift must be established by the donor. The donor will provide evidence of title, a title commitment, copies of all listed exceptions to the title and a current survey. If there is a building on the property, a report reflecting compliance of all applicable building, parking and paving, health and safety codes must be provided by the donor. Also, the donor will provide a report that states the building does meet code specifications on the structural, HVAC systems, and roof. Insurance both general liability and fire and casualty policies on the property will be provided by the donor. The donor will provide all lease agreements on the property</w:t>
      </w:r>
    </w:p>
    <w:p>
      <w:pPr>
        <w:pStyle w:val="BodyText"/>
        <w:rPr/>
      </w:pPr>
      <w:r>
        <w:rPr/>
      </w:r>
    </w:p>
    <w:p>
      <w:pPr>
        <w:pStyle w:val="BodyText"/>
        <w:rPr/>
      </w:pPr>
      <w:r>
        <w:rPr/>
        <w:t xml:space="preserve">The Investment Committee will handle acceptance of any non-liquid gifts on a case-by-case basis depending upon the circumstances of the situation. The Executive Director and/or Managing Director-Fund Development are authorized to decline any gift that he or she considers inappropriate or not in keeping with the mission of GHCF. </w:t>
      </w:r>
    </w:p>
    <w:p>
      <w:pPr>
        <w:pStyle w:val="BodyText"/>
        <w:rPr/>
      </w:pPr>
      <w:r>
        <w:rPr/>
      </w:r>
    </w:p>
    <w:p>
      <w:pPr>
        <w:pStyle w:val="BodyText"/>
        <w:rPr/>
      </w:pPr>
      <w:r>
        <w:rPr/>
      </w:r>
    </w:p>
    <w:p>
      <w:pPr>
        <w:pStyle w:val="Normal"/>
        <w:jc w:val="both"/>
        <w:rPr>
          <w:rFonts w:ascii="Arial" w:hAnsi="Arial" w:cs="Arial"/>
          <w:sz w:val="22"/>
        </w:rPr>
      </w:pPr>
      <w:r>
        <w:rPr>
          <w:rFonts w:cs="Arial" w:ascii="Arial" w:hAnsi="Arial"/>
          <w:sz w:val="22"/>
        </w:rPr>
        <w:t>The Investment Committee must approve any exceptions to this policy, in writing.</w:t>
      </w:r>
    </w:p>
    <w:p>
      <w:pPr>
        <w:pStyle w:val="Normal"/>
        <w:jc w:val="both"/>
        <w:rPr>
          <w:rFonts w:ascii="Arial" w:hAnsi="Arial" w:cs="Arial"/>
          <w:sz w:val="22"/>
        </w:rPr>
      </w:pPr>
      <w:r>
        <w:rPr>
          <w:rFonts w:cs="Arial" w:ascii="Arial" w:hAnsi="Arial"/>
          <w:sz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lang w:eastAsia="en-US"/>
      </w:rPr>
      <w:fldChar w:fldCharType="begin"/>
    </w:r>
    <w:r>
      <w:rPr>
        <w:rStyle w:val="PageNumber"/>
        <w:lang w:eastAsia="en-US"/>
      </w:rPr>
      <w:instrText xml:space="preserve"> DATE \@"MM\/dd\/yy" </w:instrText>
    </w:r>
    <w:r>
      <w:rPr>
        <w:rStyle w:val="PageNumber"/>
        <w:lang w:eastAsia="en-US"/>
      </w:rPr>
      <w:fldChar w:fldCharType="separate"/>
    </w:r>
    <w:r>
      <w:rPr>
        <w:rStyle w:val="PageNumber"/>
        <w:lang w:eastAsia="en-US"/>
      </w:rPr>
      <w:t>09/28/25</w:t>
    </w:r>
    <w:r>
      <w:rPr>
        <w:rStyle w:val="PageNumber"/>
        <w:lang w:eastAsia="en-US"/>
      </w:rPr>
      <w:fldChar w:fldCharType="end"/>
    </w:r>
    <w:r>
      <w:rPr>
        <w:rStyle w:val="PageNumber"/>
        <w:lang w:eastAsia="en-US"/>
      </w:rPr>
      <w:t xml:space="preserve"> </w:t>
    </w:r>
    <w:r>
      <w:rPr>
        <w:rStyle w:val="PageNumber"/>
        <w:lang w:eastAsia="en-US"/>
      </w:rPr>
      <w:tab/>
      <w:tab/>
      <w:t xml:space="preserve">Page </w:t>
    </w: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lang w:eastAsia="en-US"/>
      </w:rPr>
      <w:t>3</w:t>
    </w:r>
    <w:r>
      <w:rPr>
        <w:rStyle w:val="PageNumber"/>
        <w:lang w:eastAsia="en-US"/>
      </w:rPr>
      <w:fldChar w:fldCharType="end"/>
    </w:r>
    <w:r>
      <w:rPr>
        <w:rStyle w:val="PageNumber"/>
        <w:lang w:eastAsia="en-US"/>
      </w:rPr>
      <w:t xml:space="preserve"> of </w:t>
    </w:r>
    <w:r>
      <w:rPr>
        <w:rStyle w:val="PageNumber"/>
        <w:lang w:eastAsia="en-US"/>
      </w:rPr>
      <w:fldChar w:fldCharType="begin"/>
    </w:r>
    <w:r>
      <w:rPr>
        <w:rStyle w:val="PageNumber"/>
        <w:lang w:eastAsia="en-US"/>
      </w:rPr>
      <w:instrText xml:space="preserve"> NUMPAGES \* ARABIC </w:instrText>
    </w:r>
    <w:r>
      <w:rPr>
        <w:rStyle w:val="PageNumber"/>
        <w:lang w:eastAsia="en-US"/>
      </w:rPr>
      <w:fldChar w:fldCharType="separate"/>
    </w:r>
    <w:r>
      <w:rPr>
        <w:rStyle w:val="PageNumber"/>
        <w:lang w:eastAsia="en-US"/>
      </w:rPr>
      <w:t>3</w:t>
    </w:r>
    <w:r>
      <w:rPr>
        <w:rStyle w:val="PageNumbe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sz w:val="24"/>
      </w:rPr>
    </w:pPr>
    <w:r>
      <w:rPr>
        <w:rFonts w:cs="Arial" w:ascii="Arial" w:hAnsi="Arial"/>
        <w:b/>
        <w:sz w:val="24"/>
      </w:rPr>
      <w:t>GREATER HOUSTON COMMUNITY FOUNDATION</w:t>
    </w:r>
  </w:p>
  <w:p>
    <w:pPr>
      <w:pStyle w:val="Header"/>
      <w:jc w:val="center"/>
      <w:rPr>
        <w:rFonts w:ascii="Arial" w:hAnsi="Arial" w:cs="Arial"/>
        <w:b/>
        <w:sz w:val="22"/>
      </w:rPr>
    </w:pPr>
    <w:r>
      <w:rPr>
        <w:rFonts w:cs="Arial" w:ascii="Arial" w:hAnsi="Arial"/>
        <w:b/>
        <w:sz w:val="22"/>
      </w:rPr>
      <w:t>POLICIES AND PROCEDURES</w:t>
    </w:r>
  </w:p>
  <w:p>
    <w:pPr>
      <w:pStyle w:val="Header"/>
      <w:jc w:val="center"/>
      <w:rPr>
        <w:rFonts w:ascii="Arial" w:hAnsi="Arial" w:cs="Arial"/>
        <w:b/>
        <w:sz w:val="22"/>
      </w:rPr>
    </w:pPr>
    <w:r>
      <w:rPr>
        <w:rFonts w:cs="Arial" w:ascii="Arial" w:hAnsi="Arial"/>
        <w:b/>
        <w:sz w:val="22"/>
      </w:rPr>
    </w:r>
  </w:p>
  <w:p>
    <w:pPr>
      <w:pStyle w:val="Header"/>
      <w:jc w:val="center"/>
      <w:rPr>
        <w:rFonts w:ascii="Arial" w:hAnsi="Arial" w:cs="Arial"/>
        <w:b/>
        <w:sz w:val="22"/>
      </w:rPr>
    </w:pPr>
    <w:r>
      <w:rPr>
        <w:rFonts w:cs="Arial" w:ascii="Arial" w:hAnsi="Arial"/>
        <w:b/>
        <w:sz w:val="22"/>
      </w:rPr>
    </w:r>
  </w:p>
  <w:p>
    <w:pPr>
      <w:pStyle w:val="Header"/>
      <w:jc w:val="center"/>
      <w:rPr>
        <w:rFonts w:ascii="Arial" w:hAnsi="Arial" w:cs="Arial"/>
        <w:b/>
        <w:sz w:val="22"/>
      </w:rPr>
    </w:pPr>
    <w:r>
      <w:rPr>
        <w:rFonts w:cs="Arial" w:ascii="Arial" w:hAnsi="Arial"/>
        <w:b/>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rFonts w:ascii="Arial" w:hAnsi="Arial" w:cs="Arial"/>
    </w:rPr>
  </w:style>
  <w:style w:type="paragraph" w:styleId="BodyTextIndent2">
    <w:name w:val="Body Text Indent 2"/>
    <w:basedOn w:val="Normal"/>
    <w:qFormat/>
    <w:pPr>
      <w:ind w:hanging="0" w:start="360" w:end="0"/>
      <w:jc w:val="both"/>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2001-07-25T12:25:00Z</dcterms:created>
  <dc:creator>Sandra F. Heflin</dc:creator>
  <dc:description/>
  <dc:language>en-CA</dc:language>
  <cp:lastModifiedBy>Bob Paddock</cp:lastModifiedBy>
  <cp:lastPrinted>2001-08-02T16:05:00Z</cp:lastPrinted>
  <dcterms:modified xsi:type="dcterms:W3CDTF">2001-09-24T17:06:00Z</dcterms:modified>
  <cp:revision>20</cp:revision>
  <dc:subject/>
  <dc:title>Title:</dc:title>
</cp:coreProperties>
</file>