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 xml:space="preserve">December 6, 2000 </w:t>
      </w:r>
    </w:p>
    <w:p>
      <w:pPr>
        <w:pStyle w:val="Normal"/>
        <w:rPr/>
      </w:pPr>
      <w:r>
        <w:rPr/>
      </w:r>
    </w:p>
    <w:p>
      <w:pPr>
        <w:pStyle w:val="Normal"/>
        <w:rPr/>
      </w:pPr>
      <w:r>
        <w:rPr/>
      </w:r>
    </w:p>
    <w:p>
      <w:pPr>
        <w:pStyle w:val="Normal"/>
        <w:rPr/>
      </w:pPr>
      <w:r>
        <w:rPr/>
        <w:t>The New Power Company</w:t>
      </w:r>
    </w:p>
    <w:p>
      <w:pPr>
        <w:pStyle w:val="Normal"/>
        <w:tabs>
          <w:tab w:val="clear" w:pos="720"/>
          <w:tab w:val="left" w:pos="3600" w:leader="none"/>
        </w:tabs>
        <w:rPr/>
      </w:pPr>
      <w:r>
        <w:rPr/>
        <w:tab/>
      </w:r>
    </w:p>
    <w:p>
      <w:pPr>
        <w:pStyle w:val="Normal"/>
        <w:tabs>
          <w:tab w:val="clear" w:pos="720"/>
          <w:tab w:val="left" w:pos="3600" w:leader="none"/>
        </w:tabs>
        <w:rPr/>
      </w:pPr>
      <w:r>
        <w:rPr/>
        <w:t>Attn.:</w:t>
        <w:tab/>
      </w:r>
    </w:p>
    <w:p>
      <w:pPr>
        <w:pStyle w:val="Normal"/>
        <w:rPr/>
      </w:pPr>
      <w:r>
        <w:rPr/>
      </w:r>
    </w:p>
    <w:p>
      <w:pPr>
        <w:pStyle w:val="Normal"/>
        <w:ind w:hanging="720" w:start="720" w:end="0"/>
        <w:rPr/>
      </w:pPr>
      <w:r>
        <w:rPr/>
        <w:t>Re:</w:t>
        <w:tab/>
        <w:t>Confidentiality Agreement between Enron North America Corp. ("ENA") and (“NPC”)</w:t>
      </w:r>
    </w:p>
    <w:p>
      <w:pPr>
        <w:pStyle w:val="Normal"/>
        <w:rPr/>
      </w:pPr>
      <w:r>
        <w:rPr/>
      </w:r>
    </w:p>
    <w:p>
      <w:pPr>
        <w:pStyle w:val="Normal"/>
        <w:rPr/>
      </w:pPr>
      <w:r>
        <w:rPr/>
        <w:t>Ladies and Gentlemen:</w:t>
      </w:r>
    </w:p>
    <w:p>
      <w:pPr>
        <w:pStyle w:val="Normal"/>
        <w:rPr/>
      </w:pPr>
      <w:r>
        <w:rPr/>
      </w:r>
    </w:p>
    <w:p>
      <w:pPr>
        <w:pStyle w:val="Justified"/>
        <w:rPr/>
      </w:pPr>
      <w:r>
        <w:rPr/>
        <w:tab/>
        <w:t>This agreement is between Enron North America Corporation (“ENA”) and the New Power Company (“NPC”).  ENA is prepared to furnish NPC with certain information which is either confidential, proprietary or generally not available to the public ("Confidential Information") in connection with a possible agreement whereby ENA's customer (to be disclosed later) will provide NPC with access to its customers so that NPC can cross-sell under to those customers under NPC’s name (the "Proposed Transaction").  As a condition to furnishing Confidential Information, NPC and ENA each agree to the following:</w:t>
      </w:r>
    </w:p>
    <w:p>
      <w:pPr>
        <w:pStyle w:val="Heading3"/>
        <w:rPr/>
      </w:pPr>
      <w:r>
        <w:rPr/>
        <w:fldChar w:fldCharType="begin"/>
      </w:r>
      <w:r>
        <w:rPr/>
        <w:instrText xml:space="preserve"> SEQ AutoNr \* ARABIC </w:instrText>
      </w:r>
      <w:r>
        <w:rPr/>
        <w:fldChar w:fldCharType="separate"/>
      </w:r>
      <w:r>
        <w:rPr/>
        <w:t>1</w:t>
      </w:r>
      <w:r>
        <w:rPr/>
        <w:fldChar w:fldCharType="end"/>
      </w:r>
      <w:r>
        <w:rPr/>
        <w:tab/>
        <w:t xml:space="preserve">NPC shall not disclose ENA’s Confidential Information without ENA’s prior written consent; </w:t>
      </w:r>
      <w:r>
        <w:rPr>
          <w:u w:val="single"/>
        </w:rPr>
        <w:t>provided</w:t>
      </w:r>
      <w:r>
        <w:rPr/>
        <w:t xml:space="preserve">, </w:t>
      </w:r>
      <w:r>
        <w:rPr>
          <w:u w:val="single"/>
        </w:rPr>
        <w:t>however</w:t>
      </w:r>
      <w:r>
        <w:rPr/>
        <w:t>,NPC may disclose:  (a) ENA’s Confidential Information to NPC’s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ENA’s Confidential Information that:  (i) becomes generally available to the public; (ii) is already known to NPC at the time of disclosure by ENA; (iii) is acquired from a third party not prohibited from making disclosure; or (iv) is required to be disclosed to comply with any applicable law, order, regulation or ruling.</w:t>
      </w:r>
    </w:p>
    <w:p>
      <w:pPr>
        <w:pStyle w:val="Heading3"/>
        <w:rPr/>
      </w:pPr>
      <w:r>
        <w:rPr/>
        <w:fldChar w:fldCharType="begin"/>
      </w:r>
      <w:r>
        <w:rPr/>
        <w:instrText xml:space="preserve"> SEQ AutoNr \* ARABIC </w:instrText>
      </w:r>
      <w:r>
        <w:rPr/>
        <w:fldChar w:fldCharType="separate"/>
      </w:r>
      <w:r>
        <w:rPr/>
        <w:t>2</w:t>
      </w:r>
      <w:r>
        <w:rPr/>
        <w:fldChar w:fldCharType="end"/>
      </w:r>
      <w:r>
        <w:rPr/>
        <w:tab/>
        <w:t>Upon ENA’s request, NPC shall return all written Confidential Information of ENA, except for that portion of such Confidential Information that may be found in analyses, compilations, studies or other documents prepared by, or for, NPC, and NPC and its Representatives shall not retain any copies of such written Confidential Information.  The portion of written Confidential Information that may be found in analyses, compilations, studies or other documents prepared by, or for, NPC, any oral Confidential Information furnished by ENA and any written Confidential Information furnished by ENA not so requested or returned, will be held by NPC and kept subject to the terms of this agreement, or destroyed.</w:t>
      </w:r>
    </w:p>
    <w:p>
      <w:pPr>
        <w:pStyle w:val="Heading3"/>
        <w:rPr/>
      </w:pPr>
      <w:r>
        <w:rPr/>
        <w:fldChar w:fldCharType="begin"/>
      </w:r>
      <w:r>
        <w:rPr/>
        <w:instrText xml:space="preserve"> SEQ AutoNr \* ARABIC </w:instrText>
      </w:r>
      <w:r>
        <w:rPr/>
        <w:fldChar w:fldCharType="separate"/>
      </w:r>
      <w:r>
        <w:rPr/>
        <w:t>3</w:t>
      </w:r>
      <w:r>
        <w:rPr/>
        <w:fldChar w:fldCharType="end"/>
      </w:r>
      <w:r>
        <w:rPr/>
        <w:tab/>
        <w:t>Although ENA, in furnishing information, including Confidential Information, has endeavored to include materials which ENA believes to be reliable and relevant for NPC's evaluation, ENA makes no representation or warranty as to the accuracy or completeness of any such provided information.  Furthermore, neither ENA nor its Representatives shall have any liability to either NPC or its Representatives resulting from the use of any such information by NPC or its Representatives.</w:t>
      </w:r>
    </w:p>
    <w:p>
      <w:pPr>
        <w:pStyle w:val="Heading3"/>
        <w:rPr/>
      </w:pPr>
      <w:r>
        <w:rPr/>
        <w:fldChar w:fldCharType="begin"/>
      </w:r>
      <w:r>
        <w:rPr/>
        <w:instrText xml:space="preserve"> SEQ AutoNr \* ARABIC </w:instrText>
      </w:r>
      <w:r>
        <w:rPr/>
        <w:fldChar w:fldCharType="separate"/>
      </w:r>
      <w:r>
        <w:rPr/>
        <w:t>4</w:t>
      </w:r>
      <w:r>
        <w:rPr/>
        <w:fldChar w:fldCharType="end"/>
      </w:r>
      <w:r>
        <w:rPr/>
        <w:tab/>
        <w:t>NPC shall be liable for any breach of this agreement by NPC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Heading3"/>
        <w:rPr/>
      </w:pPr>
      <w:r>
        <w:rPr/>
        <w:fldChar w:fldCharType="begin"/>
      </w:r>
      <w:r>
        <w:rPr/>
        <w:instrText xml:space="preserve"> SEQ AutoNr \* ARABIC </w:instrText>
      </w:r>
      <w:r>
        <w:rPr/>
        <w:fldChar w:fldCharType="separate"/>
      </w:r>
      <w:r>
        <w:rPr/>
        <w:t>5</w:t>
      </w:r>
      <w:r>
        <w:rPr/>
        <w:fldChar w:fldCharType="end"/>
      </w:r>
      <w:r>
        <w:rPr/>
        <w:tab/>
        <w:t>Neither this agreement nor any communications between ENA and NPC shall be deemed to create any obligation or liability for ENA or NPC to proceed with the Proposed Transaction unless and until ENA and NPC so agree in writing.  NPC will not directly or indirectly: (i) enter into any discussions, negotiations, arrangements with any third party which could pre-empt, preclude or adversely affect the Transaction; or (ii) pursue or engage in the Transaction independently or with any Person other than ENA, or (iii) assist or encourage others to pursue or engage in the Transaction independently or w ith any person other than ENA.  ENA and NPC agree that no joint venture, partnership, or other fiduciary relationship shall be deemed to exist or arise with respect to the Proposed Transaction.</w:t>
      </w:r>
    </w:p>
    <w:p>
      <w:pPr>
        <w:pStyle w:val="Heading3"/>
        <w:rPr/>
      </w:pPr>
      <w:r>
        <w:rPr/>
        <w:fldChar w:fldCharType="begin"/>
      </w:r>
      <w:r>
        <w:rPr/>
        <w:instrText xml:space="preserve"> SEQ AutoNr \* ARABIC </w:instrText>
      </w:r>
      <w:r>
        <w:rPr/>
        <w:fldChar w:fldCharType="separate"/>
      </w:r>
      <w:r>
        <w:rPr/>
        <w:t>6</w:t>
      </w:r>
      <w:r>
        <w:rPr/>
        <w:fldChar w:fldCharType="end"/>
      </w:r>
      <w:r>
        <w:rPr/>
        <w:tab/>
        <w:t>This agreement shall be binding upon and for the benefit of ENA and NPC and their respective Representatives, successors, and permitted assigns.  Neither ENA nor NPC may assign its rights or obligations hereunder without the prior written consent of the other party.</w:t>
      </w:r>
    </w:p>
    <w:p>
      <w:pPr>
        <w:pStyle w:val="Heading3"/>
        <w:rPr/>
      </w:pPr>
      <w:r>
        <w:rPr/>
        <w:fldChar w:fldCharType="begin"/>
      </w:r>
      <w:r>
        <w:rPr/>
        <w:instrText xml:space="preserve"> SEQ AutoNr \* ARABIC </w:instrText>
      </w:r>
      <w:r>
        <w:rPr/>
        <w:fldChar w:fldCharType="separate"/>
      </w:r>
      <w:r>
        <w:rPr/>
        <w:t>7</w:t>
      </w:r>
      <w:r>
        <w:rPr/>
        <w:fldChar w:fldCharType="end"/>
      </w:r>
      <w:r>
        <w:rPr/>
        <w:tab/>
        <w:t>THIS AGREEMENT SHALL BE GOVERNED BY AND CONSTRUED IN ACCORDANCE WITH THE LAWS OF THE STATE OF TEXAS WITHOUT REGARD TO CONFLICTS OF LAWS RULES OR PRINCIPLES.</w:t>
      </w:r>
    </w:p>
    <w:p>
      <w:pPr>
        <w:pStyle w:val="Heading3"/>
        <w:rPr/>
      </w:pPr>
      <w:r>
        <w:rPr/>
        <w:fldChar w:fldCharType="begin"/>
      </w:r>
      <w:r>
        <w:rPr/>
        <w:instrText xml:space="preserve"> SEQ AutoNr \* ARABIC </w:instrText>
      </w:r>
      <w:r>
        <w:rPr/>
        <w:fldChar w:fldCharType="separate"/>
      </w:r>
      <w:r>
        <w:rPr/>
        <w:t>8</w:t>
      </w:r>
      <w:r>
        <w:rPr/>
        <w:fldChar w:fldCharType="end"/>
      </w:r>
      <w:r>
        <w:rPr/>
        <w:tab/>
        <w:t>This agreement shall terminate on the date one (1) year from the date of this letter.</w:t>
      </w:r>
    </w:p>
    <w:p>
      <w:pPr>
        <w:pStyle w:val="Justified"/>
        <w:keepNext w:val="true"/>
        <w:keepLines/>
        <w:rPr/>
      </w:pPr>
      <w:r>
        <w:rPr/>
        <w:tab/>
        <w:t>IN WITNESS WHEREOF, ENA and NPC hereto have executed this agreement in duplicate originals to be effective as of the day and year first written above.</w:t>
      </w:r>
    </w:p>
    <w:p>
      <w:pPr>
        <w:pStyle w:val="Normal"/>
        <w:keepNext w:val="true"/>
        <w:keepLines/>
        <w:tabs>
          <w:tab w:val="clear" w:pos="720"/>
          <w:tab w:val="left" w:pos="5040" w:leader="none"/>
          <w:tab w:val="left" w:pos="9180" w:leader="none"/>
        </w:tabs>
        <w:spacing w:before="0" w:after="120"/>
        <w:rPr/>
      </w:pPr>
      <w:r>
        <w:rPr/>
        <w:tab/>
        <w:t>Very truly yours,</w:t>
      </w:r>
    </w:p>
    <w:p>
      <w:pPr>
        <w:pStyle w:val="Normal"/>
        <w:keepNext w:val="true"/>
        <w:keepLines/>
        <w:tabs>
          <w:tab w:val="clear" w:pos="720"/>
          <w:tab w:val="left" w:pos="5040" w:leader="none"/>
          <w:tab w:val="left" w:pos="9180" w:leader="none"/>
        </w:tabs>
        <w:rPr/>
      </w:pPr>
      <w:r>
        <w:rPr/>
        <w:tab/>
      </w:r>
      <w:r>
        <w:rPr>
          <w:b/>
        </w:rPr>
        <w:t>ENRON NORTH AMERICA CORP.</w:t>
      </w:r>
    </w:p>
    <w:p>
      <w:pPr>
        <w:pStyle w:val="Normal"/>
        <w:keepNext w:val="true"/>
        <w:keepLines/>
        <w:tabs>
          <w:tab w:val="clear" w:pos="720"/>
          <w:tab w:val="left" w:pos="5040" w:leader="none"/>
          <w:tab w:val="left" w:pos="9180" w:leader="none"/>
        </w:tabs>
        <w:rPr>
          <w:b/>
        </w:rPr>
      </w:pPr>
      <w:r>
        <w:rPr>
          <w:b/>
        </w:rPr>
      </w:r>
    </w:p>
    <w:p>
      <w:pPr>
        <w:pStyle w:val="Normal"/>
        <w:keepNext w:val="true"/>
        <w:keepLines/>
        <w:tabs>
          <w:tab w:val="clear" w:pos="720"/>
          <w:tab w:val="left" w:pos="5040" w:leader="none"/>
          <w:tab w:val="left" w:pos="9180" w:leader="none"/>
        </w:tabs>
        <w:rPr/>
      </w:pPr>
      <w:r>
        <w:rPr/>
      </w:r>
    </w:p>
    <w:p>
      <w:pPr>
        <w:pStyle w:val="Normal"/>
        <w:keepNext w:val="true"/>
        <w:keepLines/>
        <w:tabs>
          <w:tab w:val="clear" w:pos="720"/>
          <w:tab w:val="left" w:pos="5040" w:leader="none"/>
          <w:tab w:val="left" w:pos="9180" w:leader="none"/>
        </w:tabs>
        <w:rPr/>
      </w:pPr>
      <w:r>
        <w:rPr/>
        <w:tab/>
        <w:t>By:</w:t>
      </w:r>
      <w:r>
        <w:rPr>
          <w:u w:val="single"/>
        </w:rPr>
        <w:tab/>
      </w:r>
    </w:p>
    <w:p>
      <w:pPr>
        <w:pStyle w:val="Normal"/>
        <w:keepNext w:val="true"/>
        <w:keepLines/>
        <w:tabs>
          <w:tab w:val="clear" w:pos="720"/>
          <w:tab w:val="left" w:pos="5040" w:leader="none"/>
          <w:tab w:val="left" w:pos="9180" w:leader="none"/>
        </w:tabs>
        <w:rPr/>
      </w:pPr>
      <w:r>
        <w:rPr/>
        <w:tab/>
        <w:t>Name:</w:t>
      </w:r>
      <w:r>
        <w:rPr>
          <w:u w:val="single"/>
        </w:rPr>
        <w:tab/>
      </w:r>
    </w:p>
    <w:p>
      <w:pPr>
        <w:pStyle w:val="Normal"/>
        <w:keepNext w:val="true"/>
        <w:keepLines/>
        <w:tabs>
          <w:tab w:val="clear" w:pos="720"/>
          <w:tab w:val="left" w:pos="5040" w:leader="none"/>
          <w:tab w:val="left" w:pos="9180" w:leader="none"/>
        </w:tabs>
        <w:rPr/>
      </w:pPr>
      <w:r>
        <w:rPr/>
        <w:tab/>
        <w:t>Title:</w:t>
      </w:r>
      <w:r>
        <w:rPr>
          <w:u w:val="single"/>
        </w:rPr>
        <w:tab/>
      </w:r>
    </w:p>
    <w:p>
      <w:pPr>
        <w:pStyle w:val="Normal"/>
        <w:keepNext w:val="true"/>
        <w:keepLines/>
        <w:rPr/>
      </w:pPr>
      <w:r>
        <w:rPr/>
        <w:t>Agreed and accepted this</w:t>
      </w:r>
    </w:p>
    <w:p>
      <w:pPr>
        <w:pStyle w:val="Normal"/>
        <w:keepNext w:val="true"/>
        <w:keepLines/>
        <w:spacing w:before="0" w:after="120"/>
        <w:rPr/>
      </w:pPr>
      <w:r>
        <w:rPr/>
        <w:t>_____ day of  December, 2000.</w:t>
      </w:r>
    </w:p>
    <w:p>
      <w:pPr>
        <w:pStyle w:val="Normal"/>
        <w:keepNext w:val="true"/>
        <w:keepLines/>
        <w:spacing w:before="0" w:after="120"/>
        <w:rPr>
          <w:b/>
        </w:rPr>
      </w:pPr>
      <w:r>
        <w:rPr>
          <w:b/>
        </w:rPr>
      </w:r>
    </w:p>
    <w:p>
      <w:pPr>
        <w:pStyle w:val="Normal"/>
        <w:keepNext w:val="true"/>
        <w:keepLines/>
        <w:tabs>
          <w:tab w:val="clear" w:pos="720"/>
          <w:tab w:val="left" w:pos="4320" w:leader="none"/>
        </w:tabs>
        <w:rPr>
          <w:b/>
          <w:bCs/>
        </w:rPr>
      </w:pPr>
      <w:r>
        <w:rPr>
          <w:b/>
          <w:bCs/>
        </w:rPr>
        <w:t>THE NEW POWER COMPANY</w:t>
      </w:r>
    </w:p>
    <w:p>
      <w:pPr>
        <w:pStyle w:val="Normal"/>
        <w:keepNext w:val="true"/>
        <w:keepLines/>
        <w:tabs>
          <w:tab w:val="clear" w:pos="720"/>
          <w:tab w:val="left" w:pos="4320" w:leader="none"/>
        </w:tabs>
        <w:rPr>
          <w:b/>
          <w:bCs/>
        </w:rPr>
      </w:pPr>
      <w:r>
        <w:rPr>
          <w:b/>
          <w:bCs/>
        </w:rPr>
      </w:r>
    </w:p>
    <w:p>
      <w:pPr>
        <w:pStyle w:val="Normal"/>
        <w:keepNext w:val="true"/>
        <w:keepLines/>
        <w:tabs>
          <w:tab w:val="clear" w:pos="720"/>
          <w:tab w:val="left" w:pos="4320" w:leader="none"/>
        </w:tabs>
        <w:rPr>
          <w:b/>
          <w:bCs/>
        </w:rPr>
      </w:pPr>
      <w:r>
        <w:rPr>
          <w:b/>
          <w:bCs/>
        </w:rPr>
      </w:r>
    </w:p>
    <w:p>
      <w:pPr>
        <w:pStyle w:val="Normal"/>
        <w:keepNext w:val="true"/>
        <w:keepLines/>
        <w:tabs>
          <w:tab w:val="clear" w:pos="720"/>
          <w:tab w:val="left" w:pos="4320" w:leader="none"/>
        </w:tabs>
        <w:rPr/>
      </w:pPr>
      <w:r>
        <w:rPr/>
        <w:t>By:</w:t>
      </w:r>
      <w:r>
        <w:rPr>
          <w:u w:val="single"/>
        </w:rPr>
        <w:tab/>
      </w:r>
    </w:p>
    <w:p>
      <w:pPr>
        <w:pStyle w:val="Normal"/>
        <w:keepNext w:val="true"/>
        <w:keepLines/>
        <w:tabs>
          <w:tab w:val="clear" w:pos="720"/>
          <w:tab w:val="left" w:pos="4320" w:leader="none"/>
        </w:tabs>
        <w:rPr/>
      </w:pPr>
      <w:r>
        <w:rPr/>
        <w:t>Name:</w:t>
      </w:r>
      <w:r>
        <w:rPr>
          <w:u w:val="single"/>
        </w:rPr>
        <w:tab/>
      </w:r>
    </w:p>
    <w:p>
      <w:pPr>
        <w:pStyle w:val="Normal"/>
        <w:tabs>
          <w:tab w:val="clear" w:pos="720"/>
          <w:tab w:val="left" w:pos="4320" w:leader="none"/>
        </w:tabs>
        <w:rPr/>
      </w:pPr>
      <w:r>
        <w:rPr/>
        <w:t>Title:</w:t>
      </w:r>
      <w:r>
        <w:rPr>
          <w:u w:val="single"/>
        </w:rPr>
        <w:tab/>
      </w:r>
    </w:p>
    <w:p>
      <w:pPr>
        <w:pStyle w:val="Normal"/>
        <w:tabs>
          <w:tab w:val="clear" w:pos="720"/>
          <w:tab w:val="left" w:pos="4320" w:leader="none"/>
        </w:tabs>
        <w:rPr>
          <w:u w:val="single"/>
        </w:rPr>
      </w:pPr>
      <w:r>
        <w:rPr>
          <w:u w:val="single"/>
        </w:rPr>
      </w:r>
    </w:p>
    <w:p>
      <w:pPr>
        <w:pStyle w:val="Normal"/>
        <w:tabs>
          <w:tab w:val="clear" w:pos="720"/>
          <w:tab w:val="left" w:pos="4320" w:leader="none"/>
        </w:tabs>
        <w:rPr/>
      </w:pPr>
      <w:r>
        <w:rPr/>
      </w:r>
    </w:p>
    <w:sectPr>
      <w:headerReference w:type="default" r:id="rId2"/>
      <w:headerReference w:type="first" r:id="rId3"/>
      <w:footerReference w:type="default" r:id="rId4"/>
      <w:footerReference w:type="first" r:id="rId5"/>
      <w:type w:val="nextPage"/>
      <w:pgSz w:w="12240" w:h="15840"/>
      <w:pgMar w:left="1008" w:right="1008" w:gutter="0" w:header="72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/mnt/main-storage/datasets/enron-docs/doc/newpowerCA_dec2000.doc</w:t>
    </w:r>
    <w:r>
      <w:rPr>
        <w:sz w:val="14"/>
      </w:rPr>
      <w:fldChar w:fldCharType="end"/>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w:instrText>
    </w:r>
    <w:r>
      <w:rPr>
        <w:sz w:val="14"/>
      </w:rPr>
      <w:fldChar w:fldCharType="separate"/>
    </w:r>
    <w:r>
      <w:rPr>
        <w:sz w:val="14"/>
      </w:rPr>
      <w:t>newpowerCA_dec2000.doc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90" w:leader="none"/>
      </w:tabs>
      <w:rPr>
        <w:sz w:val="24"/>
      </w:rPr>
    </w:pPr>
    <w:r>
      <w:rPr/>
      <w:tab/>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2</w:t>
    </w:r>
    <w:r>
      <w:rPr/>
      <w:fldChar w:fldCharType="end"/>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CommentReference">
    <w:name w:val="Comment Reference"/>
    <w:basedOn w:val="DefaultParagraphFont"/>
    <w:qForma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LineNumber">
    <w:name w:val="line number"/>
    <w:basedOn w:val="DefaultParagraphFont"/>
    <w:rPr>
      <w:rFonts w:ascii="Times New Roman" w:hAnsi="Times New Roman" w:cs="Times New Roman"/>
      <w:sz w:val="22"/>
    </w:rPr>
  </w:style>
  <w:style w:type="paragraph" w:styleId="Heading">
    <w:name w:val="Heading"/>
    <w:basedOn w:val="Normal"/>
    <w:next w:val="BodyText"/>
    <w:qFormat/>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para">
    <w:name w:val="para"/>
    <w:qFormat/>
    <w:pPr>
      <w:widowControl/>
      <w:bidi w:val="0"/>
    </w:pPr>
    <w:rPr>
      <w:rFonts w:ascii="Times New Roman" w:hAnsi="Times New Roman" w:eastAsia="Times New Roman" w:cs="Times New Roman"/>
      <w:color w:val="auto"/>
      <w:sz w:val="22"/>
      <w:szCs w:val="20"/>
      <w:lang w:val="en-US" w:bidi="ar-SA" w:eastAsia="zh-CN"/>
    </w:rPr>
  </w:style>
  <w:style w:type="paragraph" w:styleId="section">
    <w:name w:val="section"/>
    <w:qFormat/>
    <w:pPr>
      <w:widowControl/>
      <w:bidi w:val="0"/>
    </w:pPr>
    <w:rPr>
      <w:rFonts w:ascii="Times New Roman" w:hAnsi="Times New Roman" w:eastAsia="Times New Roman" w:cs="Times New Roman"/>
      <w:color w:val="auto"/>
      <w:sz w:val="22"/>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MessageHeader">
    <w:name w:val="Message Header"/>
    <w:basedOn w:val="Normal"/>
    <w:qFormat/>
    <w:pPr>
      <w:ind w:hanging="1080" w:start="1080" w:end="0"/>
    </w:pPr>
    <w:rPr>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power.dot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2000-12-07T01:34:00Z</dcterms:created>
  <dc:creator>ECT</dc:creator>
  <dc:description/>
  <cp:keywords>Confidentiality Agreement</cp:keywords>
  <dc:language>en-CA</dc:language>
  <cp:lastModifiedBy>kmann</cp:lastModifiedBy>
  <cp:lastPrinted>1999-07-13T10:47:00Z</cp:lastPrinted>
  <dcterms:modified xsi:type="dcterms:W3CDTF">2000-12-07T01:34:00Z</dcterms:modified>
  <cp:revision>2</cp:revision>
  <dc:subject>EPMI/</dc:subject>
  <dc:title>UNILATERAL Confidentiality Agreement</dc:title>
</cp:coreProperties>
</file>