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pPr>
      <w:r>
        <w:rPr>
          <w:b/>
        </w:rPr>
        <w:t>Buyer:</w:t>
        <w:tab/>
        <w:tab/>
      </w:r>
      <w:r>
        <w:rPr>
          <w:sz w:val="32"/>
        </w:rPr>
        <w:t>New Gulf Power Ventures, Inc.</w:t>
      </w:r>
    </w:p>
    <w:p>
      <w:pPr>
        <w:pStyle w:val="Normal"/>
        <w:rPr/>
      </w:pPr>
      <w:r>
        <w:rPr>
          <w:sz w:val="32"/>
        </w:rPr>
        <w:tab/>
        <w:tab/>
      </w:r>
      <w:r>
        <w:rPr>
          <w:sz w:val="20"/>
        </w:rPr>
        <w:t>1 Riverside Plaza</w:t>
      </w:r>
    </w:p>
    <w:p>
      <w:pPr>
        <w:pStyle w:val="Normal"/>
        <w:rPr>
          <w:sz w:val="32"/>
        </w:rPr>
      </w:pPr>
      <w:r>
        <w:rPr>
          <w:sz w:val="20"/>
        </w:rPr>
        <w:tab/>
        <w:tab/>
        <w:t>Columbus, Ohio 43215-2373</w:t>
      </w:r>
    </w:p>
    <w:p>
      <w:pPr>
        <w:pStyle w:val="Normal"/>
        <w:rPr>
          <w:sz w:val="32"/>
        </w:rPr>
      </w:pPr>
      <w:r>
        <w:rPr>
          <w:sz w:val="32"/>
        </w:rPr>
        <w:tab/>
      </w:r>
    </w:p>
    <w:p>
      <w:pPr>
        <w:pStyle w:val="Normal"/>
        <w:rPr/>
      </w:pPr>
      <w:r>
        <w:rPr>
          <w:b/>
        </w:rPr>
        <w:t>Seller:</w:t>
      </w:r>
      <w:r>
        <w:rPr/>
        <w:tab/>
        <w:tab/>
      </w:r>
      <w:r>
        <w:rPr>
          <w:sz w:val="32"/>
        </w:rPr>
        <w:t>Houston Pipe Line Company</w:t>
      </w:r>
    </w:p>
    <w:p>
      <w:pPr>
        <w:pStyle w:val="Normal"/>
        <w:rPr/>
      </w:pPr>
      <w:r>
        <w:rPr>
          <w:sz w:val="32"/>
        </w:rPr>
        <w:tab/>
        <w:tab/>
      </w:r>
      <w:r>
        <w:rPr>
          <w:sz w:val="22"/>
        </w:rPr>
        <w:t>Janet Wallis (713) 853-5388</w:t>
      </w:r>
    </w:p>
    <w:p>
      <w:pPr>
        <w:pStyle w:val="Normal"/>
        <w:rPr>
          <w:b/>
          <w:sz w:val="22"/>
        </w:rPr>
      </w:pPr>
      <w:r>
        <w:rPr>
          <w:b/>
          <w:sz w:val="22"/>
        </w:rPr>
      </w:r>
    </w:p>
    <w:p>
      <w:pPr>
        <w:pStyle w:val="Normal"/>
        <w:rPr/>
      </w:pPr>
      <w:r>
        <w:rPr>
          <w:b/>
        </w:rPr>
        <w:t>Location:</w:t>
        <w:tab/>
      </w:r>
      <w:r>
        <w:rPr/>
        <w:t>NewGulf Power Plant</w:t>
      </w:r>
    </w:p>
    <w:p>
      <w:pPr>
        <w:pStyle w:val="Normal"/>
        <w:rPr>
          <w:b/>
        </w:rPr>
      </w:pPr>
      <w:r>
        <w:rPr>
          <w:b/>
        </w:rPr>
      </w:r>
    </w:p>
    <w:p>
      <w:pPr>
        <w:pStyle w:val="Normal"/>
        <w:rPr/>
      </w:pPr>
      <w:r>
        <w:rPr>
          <w:b/>
        </w:rPr>
        <w:t>Term:</w:t>
      </w:r>
      <w:r>
        <w:rPr/>
        <w:tab/>
        <w:tab/>
        <w:t>June 01, 2001 – September 30, 2001(5 months)</w:t>
      </w:r>
    </w:p>
    <w:p>
      <w:pPr>
        <w:pStyle w:val="Normal"/>
        <w:rPr>
          <w:b/>
        </w:rPr>
      </w:pPr>
      <w:r>
        <w:rPr>
          <w:b/>
        </w:rPr>
      </w:r>
    </w:p>
    <w:p>
      <w:pPr>
        <w:pStyle w:val="Normal"/>
        <w:rPr/>
      </w:pPr>
      <w:r>
        <w:rPr>
          <w:b/>
        </w:rPr>
        <w:t>Volume:</w:t>
      </w:r>
      <w:r>
        <w:rPr/>
        <w:tab/>
        <w:t>up to 12,000 a day</w:t>
      </w:r>
    </w:p>
    <w:p>
      <w:pPr>
        <w:pStyle w:val="Normal"/>
        <w:rPr>
          <w:b/>
        </w:rPr>
      </w:pPr>
      <w:r>
        <w:rPr>
          <w:b/>
        </w:rPr>
      </w:r>
    </w:p>
    <w:p>
      <w:pPr>
        <w:pStyle w:val="Normal"/>
        <w:rPr/>
      </w:pPr>
      <w:r>
        <w:rPr>
          <w:b/>
        </w:rPr>
        <w:t>Nomination:</w:t>
        <w:tab/>
      </w:r>
      <w:r>
        <w:rPr>
          <w:bCs/>
        </w:rPr>
        <w:t xml:space="preserve">AEP shall </w:t>
      </w:r>
      <w:r>
        <w:rPr/>
        <w:t xml:space="preserve">nominate a volume between 0 and 12,000 Mmbtu’s a day </w:t>
      </w:r>
    </w:p>
    <w:p>
      <w:pPr>
        <w:pStyle w:val="Normal"/>
        <w:ind w:firstLine="720" w:start="720" w:end="0"/>
        <w:rPr/>
      </w:pPr>
      <w:r>
        <w:rPr/>
        <w:t>one day prior to flow by 9:00 a.m.  Weekend &amp; Holiday nominations</w:t>
      </w:r>
    </w:p>
    <w:p>
      <w:pPr>
        <w:pStyle w:val="Normal"/>
        <w:ind w:firstLine="720" w:start="720" w:end="0"/>
        <w:rPr/>
      </w:pPr>
      <w:r>
        <w:rPr/>
        <w:t xml:space="preserve">shall equal each other and are also due </w:t>
      </w:r>
      <w:r>
        <w:rPr>
          <w:u w:val="single"/>
        </w:rPr>
        <w:t>one business</w:t>
      </w:r>
      <w:r>
        <w:rPr/>
        <w:t xml:space="preserve"> day prior to flow.  It is</w:t>
      </w:r>
    </w:p>
    <w:p>
      <w:pPr>
        <w:pStyle w:val="Normal"/>
        <w:ind w:firstLine="720" w:start="720" w:end="0"/>
        <w:rPr/>
      </w:pPr>
      <w:r>
        <w:rPr/>
        <w:t>understood that AEP shall nominate a daily volume but the actual gas may</w:t>
      </w:r>
    </w:p>
    <w:p>
      <w:pPr>
        <w:pStyle w:val="Normal"/>
        <w:ind w:firstLine="720" w:start="720" w:end="0"/>
        <w:rPr/>
      </w:pPr>
      <w:r>
        <w:rPr/>
        <w:t xml:space="preserve">flow at a rate as high as 833.33 an hour.  </w:t>
      </w:r>
    </w:p>
    <w:p>
      <w:pPr>
        <w:pStyle w:val="Normal"/>
        <w:rPr>
          <w:b/>
        </w:rPr>
      </w:pPr>
      <w:r>
        <w:rPr>
          <w:b/>
        </w:rPr>
      </w:r>
    </w:p>
    <w:p>
      <w:pPr>
        <w:pStyle w:val="Normal"/>
        <w:rPr/>
      </w:pPr>
      <w:r>
        <w:rPr>
          <w:b/>
        </w:rPr>
        <w:t>Price:</w:t>
      </w:r>
      <w:r>
        <w:rPr/>
        <w:tab/>
        <w:tab/>
        <w:t xml:space="preserve">Nominated gas shall be priced at </w:t>
      </w:r>
      <w:r>
        <w:rPr>
          <w:i/>
          <w:iCs/>
        </w:rPr>
        <w:t>Gas Daily</w:t>
      </w:r>
      <w:r>
        <w:rPr/>
        <w:t>, East-Houston-Katy, HSC</w:t>
      </w:r>
    </w:p>
    <w:p>
      <w:pPr>
        <w:pStyle w:val="Normal"/>
        <w:ind w:firstLine="720" w:start="720" w:end="0"/>
        <w:rPr/>
      </w:pPr>
      <w:r>
        <w:rPr/>
        <w:t>common midpoint + $.10.  Volumes taken over the nominated volume</w:t>
      </w:r>
    </w:p>
    <w:p>
      <w:pPr>
        <w:pStyle w:val="Normal"/>
        <w:ind w:firstLine="720" w:start="720" w:end="0"/>
        <w:rPr/>
      </w:pPr>
      <w:r>
        <w:rPr/>
        <w:t>shall be priced at the higher of the flow day or the day after the flow day at</w:t>
      </w:r>
    </w:p>
    <w:p>
      <w:pPr>
        <w:pStyle w:val="Normal"/>
        <w:ind w:start="1440" w:end="0"/>
        <w:rPr/>
      </w:pPr>
      <w:r>
        <w:rPr>
          <w:i/>
          <w:iCs/>
        </w:rPr>
        <w:t>Gas Daily</w:t>
      </w:r>
      <w:r>
        <w:rPr/>
        <w:t>, East-Houston-Katy, HSC +$.10.  All volumes over 12,000 Mmbtu’s a day are considered interruptible.  Any nominated volumes that are not taken are charged a deficiency cost equal to the deficiency volume times the positive difference, if any, obtained by subtracting the Gas Daily HSC common midpoint from the Contract price plus $0.10.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i/>
          <w:sz w:val="20"/>
        </w:rPr>
        <w:t xml:space="preserve"> </w:t>
      </w:r>
      <w:r>
        <w:rPr>
          <w:i/>
          <w:sz w:val="20"/>
        </w:rPr>
        <w:t>This proposal is for discussion purposes only and is not intended to be complete and all-inclusive of the terms of the related transaction.  This is not an offer or a commitment of Enron North America or any parent or affiliate of Enron North America.  The transaction described herein is subject to further review and approval of Enron North America and execution of definitive agreements containing all appropriate provisions, including those relating to credit and limitation of damages</w:t>
      </w:r>
      <w:r>
        <w:rPr>
          <w:i/>
        </w:rPr>
        <w:t>.</w:t>
      </w:r>
    </w:p>
    <w:p>
      <w:pPr>
        <w:pStyle w:val="Normal"/>
        <w:rPr>
          <w:i/>
          <w:i/>
        </w:rPr>
      </w:pPr>
      <w:r>
        <w:rPr>
          <w:i/>
        </w:rPr>
      </w:r>
    </w:p>
    <w:p>
      <w:pPr>
        <w:pStyle w:val="Heading1"/>
        <w:ind w:hanging="0" w:start="0"/>
        <w:rPr/>
      </w:pPr>
      <w:r>
        <w:rPr/>
        <w:t>Newgulf.doc</w:t>
      </w:r>
    </w:p>
    <w:p>
      <w:pPr>
        <w:pStyle w:val="Normal"/>
        <w:rPr/>
      </w:pPr>
      <w:r>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Univers (WN)">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i/>
      <w:sz w:val="1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hanging="1440" w:start="1440" w:end="0"/>
      <w:jc w:val="both"/>
    </w:pPr>
    <w:rPr>
      <w:rFonts w:ascii="Univers (WN)" w:hAnsi="Univers (WN)" w:cs="Univers (WN)"/>
      <w:sz w:val="20"/>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2001-04-16T13:05:00Z</dcterms:created>
  <dc:creator>ECT</dc:creator>
  <dc:description/>
  <dc:language>en-CA</dc:language>
  <cp:lastModifiedBy>jwallis</cp:lastModifiedBy>
  <cp:lastPrinted>2001-04-16T11:59:00Z</cp:lastPrinted>
  <dcterms:modified xsi:type="dcterms:W3CDTF">2001-05-09T18:07:00Z</dcterms:modified>
  <cp:revision>13</cp:revision>
  <dc:subject/>
  <dc:title>New Deal</dc:title>
</cp:coreProperties>
</file>